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072" w:rsidRDefault="009A4072" w:rsidP="009A4072">
      <w:pPr>
        <w:pStyle w:val="Default"/>
      </w:pPr>
    </w:p>
    <w:p w:rsidR="009A4072" w:rsidRDefault="009A4072" w:rsidP="009A4072">
      <w:pPr>
        <w:pStyle w:val="Default"/>
        <w:rPr>
          <w:sz w:val="20"/>
          <w:szCs w:val="20"/>
        </w:rPr>
      </w:pPr>
      <w:r>
        <w:t xml:space="preserve"> </w:t>
      </w:r>
      <w:r>
        <w:rPr>
          <w:b/>
          <w:bCs/>
          <w:sz w:val="20"/>
          <w:szCs w:val="20"/>
        </w:rPr>
        <w:t>“</w:t>
      </w:r>
      <w:proofErr w:type="spellStart"/>
      <w:r>
        <w:rPr>
          <w:b/>
          <w:bCs/>
          <w:sz w:val="20"/>
          <w:szCs w:val="20"/>
        </w:rPr>
        <w:t>Евроконсултантс</w:t>
      </w:r>
      <w:proofErr w:type="spellEnd"/>
      <w:r>
        <w:rPr>
          <w:b/>
          <w:bCs/>
          <w:sz w:val="20"/>
          <w:szCs w:val="20"/>
        </w:rPr>
        <w:t xml:space="preserve"> България С.А.” АД </w:t>
      </w:r>
    </w:p>
    <w:p w:rsidR="009A4072" w:rsidRDefault="009A4072" w:rsidP="009A4072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гр. София 1000, бул. „Витоша” 39, ет. 1, </w:t>
      </w:r>
    </w:p>
    <w:p w:rsidR="009A4072" w:rsidRDefault="009A4072" w:rsidP="009A4072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Тел.: </w:t>
      </w:r>
      <w:r>
        <w:rPr>
          <w:sz w:val="20"/>
          <w:szCs w:val="20"/>
        </w:rPr>
        <w:t xml:space="preserve">02/931 15 16; </w:t>
      </w:r>
      <w:proofErr w:type="spellStart"/>
      <w:r>
        <w:rPr>
          <w:b/>
          <w:bCs/>
          <w:sz w:val="20"/>
          <w:szCs w:val="20"/>
        </w:rPr>
        <w:t>Моб</w:t>
      </w:r>
      <w:proofErr w:type="spellEnd"/>
      <w:r>
        <w:rPr>
          <w:b/>
          <w:bCs/>
          <w:sz w:val="20"/>
          <w:szCs w:val="20"/>
        </w:rPr>
        <w:t xml:space="preserve">.: </w:t>
      </w:r>
      <w:r>
        <w:rPr>
          <w:sz w:val="20"/>
          <w:szCs w:val="20"/>
        </w:rPr>
        <w:t xml:space="preserve">0894368048 </w:t>
      </w:r>
    </w:p>
    <w:p w:rsidR="009A4072" w:rsidRDefault="009A4072" w:rsidP="009A4072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>E-</w:t>
      </w:r>
      <w:proofErr w:type="spellStart"/>
      <w:r>
        <w:rPr>
          <w:b/>
          <w:bCs/>
          <w:sz w:val="20"/>
          <w:szCs w:val="20"/>
        </w:rPr>
        <w:t>mail</w:t>
      </w:r>
      <w:proofErr w:type="spellEnd"/>
      <w:r>
        <w:rPr>
          <w:b/>
          <w:bCs/>
          <w:sz w:val="20"/>
          <w:szCs w:val="20"/>
        </w:rPr>
        <w:t xml:space="preserve">: </w:t>
      </w:r>
      <w:r>
        <w:rPr>
          <w:sz w:val="20"/>
          <w:szCs w:val="20"/>
        </w:rPr>
        <w:t xml:space="preserve">officebg@euroconsultants.com.gr </w:t>
      </w:r>
    </w:p>
    <w:p w:rsidR="009A4072" w:rsidRDefault="009A4072" w:rsidP="009A4072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Internet: </w:t>
      </w:r>
      <w:r>
        <w:rPr>
          <w:sz w:val="20"/>
          <w:szCs w:val="20"/>
        </w:rPr>
        <w:t xml:space="preserve">www.euroconsultantsbg.com </w:t>
      </w:r>
    </w:p>
    <w:p w:rsidR="009A4072" w:rsidRDefault="009A4072" w:rsidP="009A4072">
      <w:pPr>
        <w:pStyle w:val="Default"/>
        <w:rPr>
          <w:rFonts w:ascii="Arial" w:hAnsi="Arial" w:cs="Arial"/>
          <w:sz w:val="23"/>
          <w:szCs w:val="23"/>
        </w:rPr>
      </w:pPr>
      <w:proofErr w:type="spellStart"/>
      <w:r>
        <w:rPr>
          <w:rFonts w:ascii="Arial" w:hAnsi="Arial" w:cs="Arial"/>
          <w:b/>
          <w:bCs/>
          <w:sz w:val="23"/>
          <w:szCs w:val="23"/>
        </w:rPr>
        <w:t>Грантова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 схема </w:t>
      </w:r>
    </w:p>
    <w:p w:rsidR="009A4072" w:rsidRDefault="009A4072" w:rsidP="009A4072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по оперативна програма „Иновации и </w:t>
      </w:r>
      <w:proofErr w:type="spellStart"/>
      <w:r>
        <w:rPr>
          <w:rFonts w:ascii="Arial" w:hAnsi="Arial" w:cs="Arial"/>
          <w:b/>
          <w:bCs/>
          <w:sz w:val="23"/>
          <w:szCs w:val="23"/>
        </w:rPr>
        <w:t>конкурентноспособност</w:t>
      </w:r>
      <w:proofErr w:type="spellEnd"/>
      <w:r>
        <w:rPr>
          <w:rFonts w:ascii="Arial" w:hAnsi="Arial" w:cs="Arial"/>
          <w:b/>
          <w:bCs/>
          <w:sz w:val="23"/>
          <w:szCs w:val="23"/>
        </w:rPr>
        <w:t xml:space="preserve">” 2014-2020 г.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407"/>
        <w:gridCol w:w="5407"/>
      </w:tblGrid>
      <w:tr w:rsidR="009A4072">
        <w:tblPrEx>
          <w:tblCellMar>
            <w:top w:w="0" w:type="dxa"/>
            <w:bottom w:w="0" w:type="dxa"/>
          </w:tblCellMar>
        </w:tblPrEx>
        <w:trPr>
          <w:trHeight w:val="329"/>
        </w:trPr>
        <w:tc>
          <w:tcPr>
            <w:tcW w:w="5407" w:type="dxa"/>
          </w:tcPr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„Разработване на продуктови и производствени иновации”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Цел на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грантовата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схема </w:t>
            </w:r>
          </w:p>
        </w:tc>
        <w:tc>
          <w:tcPr>
            <w:tcW w:w="5407" w:type="dxa"/>
          </w:tcPr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Нарастване на дела на предприятията, които разработват и разпространяват продуктови и производствени иновации, както и повишаване на иновационния капацитет на предприятията. </w:t>
            </w:r>
          </w:p>
        </w:tc>
      </w:tr>
      <w:tr w:rsidR="009A4072">
        <w:tblPrEx>
          <w:tblCellMar>
            <w:top w:w="0" w:type="dxa"/>
            <w:bottom w:w="0" w:type="dxa"/>
          </w:tblCellMar>
        </w:tblPrEx>
        <w:trPr>
          <w:trHeight w:val="1852"/>
        </w:trPr>
        <w:tc>
          <w:tcPr>
            <w:tcW w:w="5407" w:type="dxa"/>
          </w:tcPr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Допустими кандидати </w:t>
            </w:r>
          </w:p>
        </w:tc>
        <w:tc>
          <w:tcPr>
            <w:tcW w:w="5407" w:type="dxa"/>
          </w:tcPr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Юридически лица или ЕТ, регистрирани по Търговския закон или Закона за кооперациите или еквивалентни лица по смисъла на законодателството на държава-членка на Европейското икономическо пространство, които: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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Имат </w:t>
            </w:r>
            <w:r>
              <w:rPr>
                <w:rFonts w:ascii="Arial" w:hAnsi="Arial" w:cs="Arial"/>
                <w:sz w:val="20"/>
                <w:szCs w:val="20"/>
              </w:rPr>
              <w:t xml:space="preserve">минимум 3 приключени финансови години (2014, 2015 и 2016 г.)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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Не са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микропредприятия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които имат седалище или клон в община от селските райони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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Не </w:t>
            </w:r>
            <w:r>
              <w:rPr>
                <w:rFonts w:ascii="Arial" w:hAnsi="Arial" w:cs="Arial"/>
                <w:sz w:val="20"/>
                <w:szCs w:val="20"/>
              </w:rPr>
              <w:t xml:space="preserve">са предприятия, извършващи основната си икономическа дейност или кандидатстващи за финансиране на дейности, които съгласно КИД 2008 попадат в Сектор С - код на икономическа дейност 10 „Производство на хранителни продукти” (10.1, 10.2, 10.3, 10.4, 10.5, 10.6, 10.81, 10.83, 10.84 и 10.91) и код 11 „Производство на напитки” (11.2, 11.3 и 11.06)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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Не </w:t>
            </w:r>
            <w:r>
              <w:rPr>
                <w:rFonts w:ascii="Arial" w:hAnsi="Arial" w:cs="Arial"/>
                <w:sz w:val="20"/>
                <w:szCs w:val="20"/>
              </w:rPr>
              <w:t xml:space="preserve">осъществяват инвестиции, свързани с преработка и/или маркетинг на горски продукти, преработката и/или маркетинга на селскостопански продукти в неселскостопански продукти в селски райони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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Не </w:t>
            </w:r>
            <w:r>
              <w:rPr>
                <w:rFonts w:ascii="Arial" w:hAnsi="Arial" w:cs="Arial"/>
                <w:sz w:val="20"/>
                <w:szCs w:val="20"/>
              </w:rPr>
              <w:t xml:space="preserve">развиват дейности в сектора “Рибарство 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аквакултури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”, първичното производство на селскостопански продукти, производство и търговия на селскостопански продукти, въгледобив, стоманодобив,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корабостроeне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производство на синтетични влакна, транспорт и производство и дистрибуция на електроенергия и енергийните инфраструктури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</w:p>
        </w:tc>
      </w:tr>
      <w:tr w:rsidR="009A4072">
        <w:tblPrEx>
          <w:tblCellMar>
            <w:top w:w="0" w:type="dxa"/>
            <w:bottom w:w="0" w:type="dxa"/>
          </w:tblCellMar>
        </w:tblPrEx>
        <w:trPr>
          <w:trHeight w:val="2197"/>
        </w:trPr>
        <w:tc>
          <w:tcPr>
            <w:tcW w:w="5407" w:type="dxa"/>
          </w:tcPr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Допустими партньори </w:t>
            </w:r>
          </w:p>
        </w:tc>
        <w:tc>
          <w:tcPr>
            <w:tcW w:w="5407" w:type="dxa"/>
          </w:tcPr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Научни организации: </w:t>
            </w: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 Акредитирани български висши училища, или </w:t>
            </w: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 Факултети към български висши училища, съгласно чл. 26 от Закона за висшето образование или действащите към факултетите обслужващи звена (по смисъла на чл. 25, ал. 3 от Закона за висшето образование), или </w:t>
            </w: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 Институти или академични специализирани звена на БАН, или </w:t>
            </w: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 Експериментални лаборатории и изследователски институти по смисъла на чл. 60 от Закона за администрацията, или </w:t>
            </w: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 Сдружение за научноизследователска и развойна дейност към „София Тех Парк“ АД </w:t>
            </w: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Бележки: </w:t>
            </w: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В случай че проектното предложение се осъществява в партньорство,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минимум 10%, но не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lastRenderedPageBreak/>
              <w:t xml:space="preserve">повече от 40%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от общо допустимите разходи по проекта могат да се извършват от партньора. </w:t>
            </w: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Едно проектно предложение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може да включа повече от един партньор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като сумарно разходите, извършвани от всички партньори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не следва да са повече от 40%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от общо допустимите разходи по проекта. При включване на повече от един партньор в едно проектно предложение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всеки един от участващите партньори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трябва да извършва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минимум 10%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от общо допустимите разходи по проекта. </w:t>
            </w:r>
          </w:p>
          <w:p w:rsidR="009A4072" w:rsidRDefault="009A4072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4072">
        <w:tblPrEx>
          <w:tblCellMar>
            <w:top w:w="0" w:type="dxa"/>
            <w:bottom w:w="0" w:type="dxa"/>
          </w:tblCellMar>
        </w:tblPrEx>
        <w:trPr>
          <w:trHeight w:val="1843"/>
        </w:trPr>
        <w:tc>
          <w:tcPr>
            <w:tcW w:w="5407" w:type="dxa"/>
          </w:tcPr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Допустими проекти </w:t>
            </w:r>
          </w:p>
        </w:tc>
        <w:tc>
          <w:tcPr>
            <w:tcW w:w="5407" w:type="dxa"/>
          </w:tcPr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1. Изпълнението на проекта следва да води до разработване на продукт (стока или услуга) или процес, попадащи в обхвата на изброените по-долу приоритетни направления на тематичните области на ИСИС: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 ИКТ и информатика: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</w:t>
            </w:r>
            <w:r>
              <w:rPr>
                <w:rFonts w:ascii="Arial" w:hAnsi="Arial" w:cs="Arial"/>
                <w:sz w:val="20"/>
                <w:szCs w:val="20"/>
              </w:rPr>
              <w:t xml:space="preserve">Производства, особено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Fabless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и нови подходи за дизайн и/или асемблиране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</w:t>
            </w:r>
            <w:r>
              <w:rPr>
                <w:rFonts w:ascii="Arial" w:hAnsi="Arial" w:cs="Arial"/>
                <w:sz w:val="20"/>
                <w:szCs w:val="20"/>
              </w:rPr>
              <w:t>ИКТ подходи в машиностроене, медицина и творчески индустрии (във връзка с другите три тематични области), вкл. дигитализация на културно-историческо наследство, развлекателни и образователни игри, „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инбедид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“ софтуер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</w:t>
            </w:r>
            <w:r>
              <w:rPr>
                <w:rFonts w:ascii="Arial" w:hAnsi="Arial" w:cs="Arial"/>
                <w:sz w:val="20"/>
                <w:szCs w:val="20"/>
              </w:rPr>
              <w:t xml:space="preserve">3D дигитализация, визуализация и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прототипиране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</w:t>
            </w:r>
            <w:r>
              <w:rPr>
                <w:rFonts w:ascii="Arial" w:hAnsi="Arial" w:cs="Arial"/>
                <w:sz w:val="20"/>
                <w:szCs w:val="20"/>
              </w:rPr>
              <w:t xml:space="preserve">Big Data,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Grid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Cloud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Technologies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</w:t>
            </w:r>
            <w:r>
              <w:rPr>
                <w:rFonts w:ascii="Arial" w:hAnsi="Arial" w:cs="Arial"/>
                <w:sz w:val="20"/>
                <w:szCs w:val="20"/>
              </w:rPr>
              <w:t xml:space="preserve">Безжични сензорни мрежи и безжична комуникация/управление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Езикови технологии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</w:t>
            </w:r>
            <w:r>
              <w:rPr>
                <w:rFonts w:ascii="Arial" w:hAnsi="Arial" w:cs="Arial"/>
                <w:sz w:val="20"/>
                <w:szCs w:val="20"/>
              </w:rPr>
              <w:t>Уеб, хибридни и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native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" приложения, уеб базирани приложения за създаване и експлоатиране на нови услуги и продукти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− </w:t>
            </w:r>
            <w:r>
              <w:rPr>
                <w:rFonts w:ascii="Arial" w:hAnsi="Arial" w:cs="Arial"/>
                <w:sz w:val="20"/>
                <w:szCs w:val="20"/>
              </w:rPr>
              <w:t xml:space="preserve">Използване на нови възможности във връзка с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аутсорсинг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и ИКТ-базирани услуги и с-ми </w:t>
            </w:r>
          </w:p>
          <w:p w:rsidR="009A4072" w:rsidRDefault="009A4072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7F14CE" w:rsidRDefault="007F14CE">
      <w:bookmarkStart w:id="0" w:name="_GoBack"/>
      <w:bookmarkEnd w:id="0"/>
    </w:p>
    <w:sectPr w:rsidR="007F14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072"/>
    <w:rsid w:val="007F14CE"/>
    <w:rsid w:val="009A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1264F3-75BF-4A9A-8AAB-E5A69C19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A407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40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0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Мирослав Тончев</dc:creator>
  <cp:keywords/>
  <dc:description/>
  <cp:lastModifiedBy>Мирослав Тончев</cp:lastModifiedBy>
  <cp:revision>1</cp:revision>
  <cp:lastPrinted>2017-07-06T07:22:00Z</cp:lastPrinted>
  <dcterms:created xsi:type="dcterms:W3CDTF">2017-07-06T07:21:00Z</dcterms:created>
  <dcterms:modified xsi:type="dcterms:W3CDTF">2017-07-06T07:23:00Z</dcterms:modified>
</cp:coreProperties>
</file>