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0F90" w:rsidRPr="00D2464B" w:rsidRDefault="00AE0F90" w:rsidP="00AE0F90">
      <w:pPr>
        <w:jc w:val="center"/>
        <w:rPr>
          <w:rFonts w:ascii="Times New Roman" w:hAnsi="Times New Roman"/>
          <w:sz w:val="52"/>
          <w:szCs w:val="52"/>
          <w:lang w:val="en-US"/>
        </w:rPr>
      </w:pPr>
    </w:p>
    <w:p w:rsidR="00AE0F90" w:rsidRDefault="00AE0F90" w:rsidP="00AE0F90">
      <w:pPr>
        <w:jc w:val="center"/>
        <w:rPr>
          <w:rFonts w:ascii="Times New Roman" w:hAnsi="Times New Roman"/>
          <w:sz w:val="52"/>
          <w:szCs w:val="52"/>
        </w:rPr>
      </w:pPr>
    </w:p>
    <w:p w:rsidR="00AE0F90" w:rsidRPr="008A15B5" w:rsidRDefault="00AE0F90" w:rsidP="00AE0F90">
      <w:pPr>
        <w:jc w:val="center"/>
        <w:rPr>
          <w:rFonts w:ascii="Times New Roman" w:hAnsi="Times New Roman"/>
          <w:b/>
          <w:sz w:val="52"/>
          <w:szCs w:val="52"/>
        </w:rPr>
      </w:pPr>
      <w:r w:rsidRPr="008A15B5">
        <w:rPr>
          <w:rFonts w:ascii="Times New Roman" w:hAnsi="Times New Roman"/>
          <w:b/>
          <w:sz w:val="52"/>
          <w:szCs w:val="52"/>
        </w:rPr>
        <w:t>Социално-икономическо развитие на България</w:t>
      </w:r>
    </w:p>
    <w:p w:rsidR="00AE0F90" w:rsidRPr="008A15B5" w:rsidRDefault="00AE0F90" w:rsidP="00AE0F90">
      <w:pPr>
        <w:jc w:val="center"/>
        <w:rPr>
          <w:rFonts w:ascii="Times New Roman" w:hAnsi="Times New Roman"/>
          <w:b/>
          <w:sz w:val="52"/>
          <w:szCs w:val="52"/>
        </w:rPr>
      </w:pPr>
      <w:r w:rsidRPr="008A15B5">
        <w:rPr>
          <w:rFonts w:ascii="Times New Roman" w:hAnsi="Times New Roman"/>
          <w:b/>
          <w:sz w:val="52"/>
          <w:szCs w:val="52"/>
        </w:rPr>
        <w:t>2007-2017 г.</w:t>
      </w:r>
    </w:p>
    <w:p w:rsidR="00AE0F90" w:rsidRDefault="00AE0F90" w:rsidP="00AE0F90">
      <w:pPr>
        <w:jc w:val="center"/>
        <w:rPr>
          <w:rFonts w:ascii="Times New Roman" w:hAnsi="Times New Roman"/>
          <w:sz w:val="52"/>
          <w:szCs w:val="52"/>
        </w:rPr>
      </w:pPr>
      <w:r>
        <w:rPr>
          <w:noProof/>
          <w:lang w:eastAsia="bg-BG"/>
        </w:rPr>
        <w:drawing>
          <wp:inline distT="0" distB="0" distL="0" distR="0" wp14:anchorId="6614F3E2" wp14:editId="4CDD0502">
            <wp:extent cx="4285615" cy="2695575"/>
            <wp:effectExtent l="0" t="0" r="635" b="9525"/>
            <wp:docPr id="1" name="Picture 1" descr="map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pb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85615" cy="2695575"/>
                    </a:xfrm>
                    <a:prstGeom prst="rect">
                      <a:avLst/>
                    </a:prstGeom>
                    <a:noFill/>
                    <a:ln>
                      <a:noFill/>
                    </a:ln>
                  </pic:spPr>
                </pic:pic>
              </a:graphicData>
            </a:graphic>
          </wp:inline>
        </w:drawing>
      </w:r>
    </w:p>
    <w:p w:rsidR="00AE0F90" w:rsidRPr="00885EF3" w:rsidRDefault="00AE0F90" w:rsidP="00AE0F90">
      <w:pPr>
        <w:jc w:val="center"/>
        <w:rPr>
          <w:rFonts w:ascii="Times New Roman" w:hAnsi="Times New Roman"/>
          <w:sz w:val="36"/>
          <w:szCs w:val="36"/>
        </w:rPr>
      </w:pPr>
    </w:p>
    <w:p w:rsidR="00AE0F90" w:rsidRDefault="00AE0F90" w:rsidP="00AE0F90">
      <w:pPr>
        <w:jc w:val="center"/>
        <w:rPr>
          <w:rFonts w:ascii="Times New Roman" w:hAnsi="Times New Roman"/>
          <w:b/>
          <w:sz w:val="36"/>
          <w:szCs w:val="36"/>
        </w:rPr>
      </w:pPr>
      <w:r w:rsidRPr="00885EF3">
        <w:rPr>
          <w:rFonts w:ascii="Times New Roman" w:hAnsi="Times New Roman"/>
          <w:b/>
          <w:sz w:val="36"/>
          <w:szCs w:val="36"/>
        </w:rPr>
        <w:t xml:space="preserve">Определяне на националните приоритети за </w:t>
      </w:r>
    </w:p>
    <w:p w:rsidR="00AE0F90" w:rsidRPr="00885EF3" w:rsidRDefault="00AE0F90" w:rsidP="00AE0F90">
      <w:pPr>
        <w:jc w:val="center"/>
        <w:rPr>
          <w:rFonts w:ascii="Times New Roman" w:hAnsi="Times New Roman"/>
          <w:b/>
          <w:sz w:val="36"/>
          <w:szCs w:val="36"/>
        </w:rPr>
      </w:pPr>
      <w:r w:rsidRPr="00885EF3">
        <w:rPr>
          <w:rFonts w:ascii="Times New Roman" w:hAnsi="Times New Roman"/>
          <w:b/>
          <w:sz w:val="36"/>
          <w:szCs w:val="36"/>
        </w:rPr>
        <w:t>периода 2021-2027 г.</w:t>
      </w:r>
    </w:p>
    <w:p w:rsidR="00AE0F90" w:rsidRDefault="00AE0F90" w:rsidP="00AE0F90">
      <w:pPr>
        <w:jc w:val="center"/>
        <w:rPr>
          <w:rFonts w:ascii="Times New Roman" w:hAnsi="Times New Roman"/>
          <w:b/>
          <w:sz w:val="52"/>
          <w:szCs w:val="52"/>
        </w:rPr>
      </w:pPr>
    </w:p>
    <w:p w:rsidR="00AE0F90" w:rsidRDefault="00AE0F90" w:rsidP="00AE0F90">
      <w:pPr>
        <w:jc w:val="center"/>
        <w:rPr>
          <w:rFonts w:ascii="Times New Roman" w:hAnsi="Times New Roman"/>
          <w:b/>
          <w:sz w:val="52"/>
          <w:szCs w:val="52"/>
        </w:rPr>
      </w:pPr>
    </w:p>
    <w:p w:rsidR="00AE0F90" w:rsidRDefault="00AE0F90" w:rsidP="00AE0F90">
      <w:pPr>
        <w:jc w:val="center"/>
        <w:rPr>
          <w:rFonts w:ascii="Times New Roman" w:hAnsi="Times New Roman"/>
          <w:b/>
          <w:sz w:val="52"/>
          <w:szCs w:val="52"/>
        </w:rPr>
      </w:pPr>
    </w:p>
    <w:p w:rsidR="00AE0F90" w:rsidRPr="008A15B5" w:rsidRDefault="00AE0F90" w:rsidP="00AE0F90">
      <w:pPr>
        <w:jc w:val="center"/>
        <w:rPr>
          <w:rFonts w:ascii="Times New Roman" w:hAnsi="Times New Roman"/>
          <w:b/>
          <w:sz w:val="52"/>
          <w:szCs w:val="52"/>
        </w:rPr>
      </w:pPr>
      <w:r w:rsidRPr="00885EF3">
        <w:rPr>
          <w:rFonts w:ascii="Times New Roman" w:hAnsi="Times New Roman"/>
          <w:b/>
          <w:sz w:val="32"/>
          <w:szCs w:val="32"/>
        </w:rPr>
        <w:t>2018 г.</w:t>
      </w:r>
      <w:r>
        <w:rPr>
          <w:rFonts w:ascii="Times New Roman" w:hAnsi="Times New Roman"/>
          <w:b/>
          <w:sz w:val="52"/>
          <w:szCs w:val="52"/>
        </w:rPr>
        <w:br w:type="page"/>
      </w:r>
    </w:p>
    <w:p w:rsidR="00AE0F90" w:rsidRPr="00F203B6" w:rsidRDefault="00AE0F90" w:rsidP="00AE0F90">
      <w:pPr>
        <w:pStyle w:val="Heading1"/>
        <w:ind w:left="360"/>
        <w:rPr>
          <w:color w:val="1F497D"/>
        </w:rPr>
      </w:pPr>
      <w:bookmarkStart w:id="0" w:name="_Toc791796"/>
      <w:r w:rsidRPr="00F203B6">
        <w:rPr>
          <w:color w:val="1F497D"/>
        </w:rPr>
        <w:lastRenderedPageBreak/>
        <w:t>Резюме</w:t>
      </w:r>
      <w:bookmarkEnd w:id="0"/>
    </w:p>
    <w:p w:rsidR="00AE0F90" w:rsidRPr="00922E36" w:rsidRDefault="00AE0F90" w:rsidP="00AE0F90">
      <w:pPr>
        <w:jc w:val="both"/>
        <w:rPr>
          <w:rFonts w:ascii="Times New Roman" w:hAnsi="Times New Roman"/>
          <w:i/>
        </w:rPr>
      </w:pPr>
      <w:r w:rsidRPr="00922E36">
        <w:rPr>
          <w:rFonts w:ascii="Times New Roman" w:hAnsi="Times New Roman"/>
          <w:i/>
        </w:rPr>
        <w:t>Направеният анализ на социално-икономическото развитите на България в годините след присъединяването й към ЕС показва продължаваща нужда от целенасочени интервенции в (почти) всички области на политиката. Въпреки несъмнения напредък на страната в адресирането на основните нужди на развитието през последните десет години, идентифицираните тесни места и области с потенциал до голяма степен повтарят резултатите от предходни аналитични материали, което налага необходимост от преосмисляне на логиката на (преобладаващата част от) осъществяваните интервенции, с акцент върху тяхната ефективност.</w:t>
      </w:r>
    </w:p>
    <w:p w:rsidR="00AE0F90" w:rsidRPr="004D186D" w:rsidRDefault="00AE0F90" w:rsidP="00AE0F90">
      <w:pPr>
        <w:jc w:val="both"/>
        <w:rPr>
          <w:rFonts w:ascii="Times New Roman" w:hAnsi="Times New Roman"/>
          <w:i/>
        </w:rPr>
      </w:pPr>
      <w:r>
        <w:rPr>
          <w:rFonts w:ascii="Times New Roman" w:hAnsi="Times New Roman"/>
          <w:i/>
        </w:rPr>
        <w:t xml:space="preserve">През последните десет години </w:t>
      </w:r>
      <w:r w:rsidRPr="00192AB4">
        <w:rPr>
          <w:rFonts w:ascii="Times New Roman" w:hAnsi="Times New Roman"/>
          <w:i/>
        </w:rPr>
        <w:t>Българ</w:t>
      </w:r>
      <w:r>
        <w:rPr>
          <w:rFonts w:ascii="Times New Roman" w:hAnsi="Times New Roman"/>
          <w:i/>
        </w:rPr>
        <w:t>и</w:t>
      </w:r>
      <w:r w:rsidRPr="00192AB4">
        <w:rPr>
          <w:rFonts w:ascii="Times New Roman" w:hAnsi="Times New Roman"/>
          <w:i/>
        </w:rPr>
        <w:t xml:space="preserve">я запазва и засилва едно от основните си конкурентни предимства – </w:t>
      </w:r>
      <w:r w:rsidRPr="00B8337A">
        <w:rPr>
          <w:rFonts w:ascii="Times New Roman" w:hAnsi="Times New Roman"/>
          <w:i/>
        </w:rPr>
        <w:t>стабилната и предвидима</w:t>
      </w:r>
      <w:r w:rsidRPr="00E12529">
        <w:rPr>
          <w:rFonts w:ascii="Times New Roman" w:hAnsi="Times New Roman"/>
          <w:b/>
          <w:i/>
        </w:rPr>
        <w:t xml:space="preserve"> макроикономическа среда</w:t>
      </w:r>
      <w:r w:rsidRPr="00192AB4">
        <w:rPr>
          <w:rFonts w:ascii="Times New Roman" w:hAnsi="Times New Roman"/>
          <w:i/>
        </w:rPr>
        <w:t xml:space="preserve">. </w:t>
      </w:r>
      <w:r>
        <w:rPr>
          <w:rFonts w:ascii="Times New Roman" w:hAnsi="Times New Roman"/>
          <w:i/>
        </w:rPr>
        <w:t xml:space="preserve">Правителството </w:t>
      </w:r>
      <w:r w:rsidRPr="00192AB4">
        <w:rPr>
          <w:rFonts w:ascii="Times New Roman" w:hAnsi="Times New Roman"/>
          <w:i/>
        </w:rPr>
        <w:t>провежда благоразумна и консервативна фискална политика</w:t>
      </w:r>
      <w:r>
        <w:rPr>
          <w:rFonts w:ascii="Times New Roman" w:hAnsi="Times New Roman"/>
          <w:i/>
        </w:rPr>
        <w:t xml:space="preserve">, при относително малка – за стандартите в ЕС – степен на вмешателство на държавата в икономическия живот. </w:t>
      </w:r>
      <w:r w:rsidRPr="007E5384">
        <w:rPr>
          <w:rFonts w:ascii="Times New Roman" w:hAnsi="Times New Roman"/>
          <w:i/>
        </w:rPr>
        <w:t>Ценовото</w:t>
      </w:r>
      <w:r>
        <w:rPr>
          <w:rFonts w:ascii="Times New Roman" w:hAnsi="Times New Roman"/>
          <w:i/>
        </w:rPr>
        <w:t xml:space="preserve"> </w:t>
      </w:r>
      <w:r w:rsidRPr="007E5384">
        <w:rPr>
          <w:rFonts w:ascii="Times New Roman" w:hAnsi="Times New Roman"/>
          <w:i/>
        </w:rPr>
        <w:t>равнище в страната проявява относителна стабилност</w:t>
      </w:r>
      <w:r>
        <w:rPr>
          <w:rFonts w:ascii="Times New Roman" w:hAnsi="Times New Roman"/>
          <w:i/>
        </w:rPr>
        <w:t xml:space="preserve">, увеличавайки обаче необходимостта от догонване на ЕС в това отношение. </w:t>
      </w:r>
      <w:r w:rsidRPr="007E5384">
        <w:rPr>
          <w:rFonts w:ascii="Times New Roman" w:hAnsi="Times New Roman"/>
          <w:i/>
        </w:rPr>
        <w:t>Валутният борд продължава да бъде фактор на стабилност</w:t>
      </w:r>
      <w:r>
        <w:rPr>
          <w:rFonts w:ascii="Times New Roman" w:hAnsi="Times New Roman"/>
          <w:i/>
        </w:rPr>
        <w:t>, валутните резерви нарастват устойчиво</w:t>
      </w:r>
      <w:r w:rsidRPr="007E5384">
        <w:rPr>
          <w:rFonts w:ascii="Times New Roman" w:hAnsi="Times New Roman"/>
          <w:i/>
        </w:rPr>
        <w:t>.</w:t>
      </w:r>
      <w:r>
        <w:rPr>
          <w:rFonts w:ascii="Times New Roman" w:hAnsi="Times New Roman"/>
          <w:i/>
        </w:rPr>
        <w:t xml:space="preserve"> Възстановяването от г</w:t>
      </w:r>
      <w:r w:rsidRPr="00192AB4">
        <w:rPr>
          <w:rFonts w:ascii="Times New Roman" w:hAnsi="Times New Roman"/>
          <w:i/>
        </w:rPr>
        <w:t>лобалната икономическа криза</w:t>
      </w:r>
      <w:r>
        <w:rPr>
          <w:rFonts w:ascii="Times New Roman" w:hAnsi="Times New Roman"/>
          <w:i/>
        </w:rPr>
        <w:t xml:space="preserve"> протича при елиминиране на някои макроикономически дисбаланси – хроничният дефицит по текущата сметка на платежния баланс е преодолян. Износът се превръща в основен двигател на растежа. Съществен резерв за ускоряване на растежа и конвергенцията се крие във все още подтиснатата инвестиционна активност, въпреки наблюдаваните позитивни ефекти от предприети действия за премахване на инвестиционните бариери. Важна роля в това отношение се очаква да има и навлизането на оперативните програми в по-„зряла“ фаза. България продължава </w:t>
      </w:r>
      <w:r w:rsidRPr="00EA32C9">
        <w:rPr>
          <w:rFonts w:ascii="Times New Roman" w:hAnsi="Times New Roman"/>
          <w:i/>
        </w:rPr>
        <w:t>процеса на конвергенция с равнищата на доходите в ЕС, макар и с относително бавни темпове</w:t>
      </w:r>
      <w:r>
        <w:rPr>
          <w:rFonts w:ascii="Times New Roman" w:hAnsi="Times New Roman"/>
          <w:i/>
        </w:rPr>
        <w:t>.</w:t>
      </w:r>
    </w:p>
    <w:p w:rsidR="00AE0F90" w:rsidRPr="004D186D" w:rsidRDefault="00AE0F90" w:rsidP="00AE0F90">
      <w:pPr>
        <w:jc w:val="both"/>
        <w:rPr>
          <w:rFonts w:ascii="Times New Roman" w:hAnsi="Times New Roman"/>
          <w:i/>
        </w:rPr>
      </w:pPr>
      <w:r>
        <w:rPr>
          <w:rFonts w:ascii="Times New Roman" w:hAnsi="Times New Roman"/>
          <w:i/>
        </w:rPr>
        <w:t>П</w:t>
      </w:r>
      <w:r w:rsidRPr="004D186D">
        <w:rPr>
          <w:rFonts w:ascii="Times New Roman" w:hAnsi="Times New Roman"/>
          <w:i/>
        </w:rPr>
        <w:t xml:space="preserve">родължават </w:t>
      </w:r>
      <w:r w:rsidRPr="00B8337A">
        <w:rPr>
          <w:rFonts w:ascii="Times New Roman" w:hAnsi="Times New Roman"/>
          <w:i/>
        </w:rPr>
        <w:t>неблагоприятните</w:t>
      </w:r>
      <w:r w:rsidRPr="00E12529">
        <w:rPr>
          <w:rFonts w:ascii="Times New Roman" w:hAnsi="Times New Roman"/>
          <w:b/>
          <w:i/>
        </w:rPr>
        <w:t xml:space="preserve"> демографски тенденции</w:t>
      </w:r>
      <w:r w:rsidRPr="004D186D">
        <w:rPr>
          <w:rFonts w:ascii="Times New Roman" w:hAnsi="Times New Roman"/>
          <w:i/>
        </w:rPr>
        <w:t>, формирани още в края на миналия век. Въпреки че част от тези тенденции, като намаляваща раждаемост, застаряване на населението и засилена урбанизация, се наблюдават и в останалата част от ЕС и са симптоматични за развитите общества, в страната те са по-остро изразени. В допълнение продължават да се наблюдават и задълбочават негативни тенденции, характерни за развиващи се страни и икономики в преход, като по-високи нива на смъртност и интензивна външна миграция. Комбинацията от тези негативни процеси д</w:t>
      </w:r>
      <w:r w:rsidR="00FB7145">
        <w:rPr>
          <w:rFonts w:ascii="Times New Roman" w:hAnsi="Times New Roman"/>
          <w:i/>
        </w:rPr>
        <w:t>а</w:t>
      </w:r>
      <w:r w:rsidRPr="004D186D">
        <w:rPr>
          <w:rFonts w:ascii="Times New Roman" w:hAnsi="Times New Roman"/>
          <w:i/>
        </w:rPr>
        <w:t>ва основание да се говори за демографска криза и изправя сериозни предизвикателства пред бъдещото функциониране на системите на социално осигуряване и подпомагане, здравеопазване, образование и публични финанси. Пазарът на труда е вече негативно повлиян от тези процеси, при ясна перспектива за изостряне на отрицателните им импликации още в средносрочен период. Като цяло, текущата демографска картина в страната и перспективите за нейното развитие в средносрочен и дългосрочен план показват, че при равни други условия (при непроменени политики) демографският фактор ще компрометира възможността на икономическата система да генерира висок и устойчив растеж и ще понижава ефективността на икономическата политика, насочена към осигуряването на (предпоставки за) такъв растеж.</w:t>
      </w:r>
    </w:p>
    <w:p w:rsidR="00AE0F90" w:rsidRDefault="00AE0F90" w:rsidP="00AE0F90">
      <w:pPr>
        <w:jc w:val="both"/>
        <w:rPr>
          <w:rFonts w:ascii="Times New Roman" w:hAnsi="Times New Roman"/>
          <w:i/>
        </w:rPr>
      </w:pPr>
      <w:r w:rsidRPr="00B8337A">
        <w:rPr>
          <w:rFonts w:ascii="Times New Roman" w:hAnsi="Times New Roman"/>
          <w:i/>
        </w:rPr>
        <w:t xml:space="preserve">Образователната структура на населението се подобрява, но неравномерно в териториален аспект и по етнически признак. Продължават да са налице тревожни сигнали за качеството на </w:t>
      </w:r>
      <w:r w:rsidRPr="00B8337A">
        <w:rPr>
          <w:rFonts w:ascii="Times New Roman" w:hAnsi="Times New Roman"/>
          <w:b/>
          <w:i/>
        </w:rPr>
        <w:t>образованието</w:t>
      </w:r>
      <w:r w:rsidRPr="00B8337A">
        <w:rPr>
          <w:rFonts w:ascii="Times New Roman" w:hAnsi="Times New Roman"/>
          <w:i/>
        </w:rPr>
        <w:t xml:space="preserve"> на всички нива. Образователната система не осигурява в адекватна степен необходимите умения, а мерките, насочени към отстраняване на недостига на тези умения, са с ограничен обхват и ефективност. Въпреки усилията обхватът на началните нива на образователната система се стеснява, при намаляващи нива на записване и все още висок дял на преждевременно напускащите училище. Качеството на образователната услуга, предоставяна в системата на професионалното образование и обучение, все още не отговаря на изискванията на пазара на труда. Силно фрагментираната система на висшето образование е с ниска и намаляваща ефективност на инвестициите в сектора, при липса на реални стимули за повишаване на качеството </w:t>
      </w:r>
      <w:r w:rsidRPr="00B8337A">
        <w:rPr>
          <w:rFonts w:ascii="Times New Roman" w:hAnsi="Times New Roman"/>
          <w:i/>
        </w:rPr>
        <w:lastRenderedPageBreak/>
        <w:t xml:space="preserve">и приложимостта на предлаганите образователни програми. Участието в различни форми на учене през целия живот остава незадоволително слабо. Ниското ефективно предлагане на възможности за УЦЖ е съществена пречка пред икономическия растеж, </w:t>
      </w:r>
      <w:proofErr w:type="spellStart"/>
      <w:r w:rsidRPr="00B8337A">
        <w:rPr>
          <w:rFonts w:ascii="Times New Roman" w:hAnsi="Times New Roman"/>
          <w:i/>
        </w:rPr>
        <w:t>т.к</w:t>
      </w:r>
      <w:proofErr w:type="spellEnd"/>
      <w:r w:rsidRPr="00B8337A">
        <w:rPr>
          <w:rFonts w:ascii="Times New Roman" w:hAnsi="Times New Roman"/>
          <w:i/>
        </w:rPr>
        <w:t xml:space="preserve">. намалява способността на заетите да се прехвърлят при работодатели, сектори и райони с по-висока добавена стойност и не позволява на безработните и икономически неактивните нискоквалифицирани работници да бъдат интегрирани отново на пазара на труда след получаване на желани от пазара умения. Налице е необходимост от предоставяне на адекватни стимули и достатъчна свобода и гъвкавост на доставчиците на обучение за адресиране на незадоволените нужди на пазара на труда. Особено належащо е преодоляването на ниското ниво на компютърни и </w:t>
      </w:r>
      <w:r w:rsidR="00F70070">
        <w:rPr>
          <w:rFonts w:ascii="Times New Roman" w:hAnsi="Times New Roman"/>
          <w:i/>
        </w:rPr>
        <w:t>цифрови</w:t>
      </w:r>
      <w:r w:rsidR="00F70070" w:rsidRPr="00B8337A">
        <w:rPr>
          <w:rFonts w:ascii="Times New Roman" w:hAnsi="Times New Roman"/>
          <w:i/>
        </w:rPr>
        <w:t xml:space="preserve"> </w:t>
      </w:r>
      <w:r w:rsidRPr="00B8337A">
        <w:rPr>
          <w:rFonts w:ascii="Times New Roman" w:hAnsi="Times New Roman"/>
          <w:i/>
        </w:rPr>
        <w:t>умения на човешките ресурси в страната, което препятства широкото използване на ИКТ и базираните на тях услуги и постигането на цифров растеж.</w:t>
      </w:r>
    </w:p>
    <w:p w:rsidR="00AE0F90" w:rsidRPr="004D186D" w:rsidRDefault="00AE0F90" w:rsidP="00AE0F90">
      <w:pPr>
        <w:jc w:val="both"/>
        <w:rPr>
          <w:rFonts w:ascii="Times New Roman" w:hAnsi="Times New Roman"/>
          <w:i/>
        </w:rPr>
      </w:pPr>
      <w:r w:rsidRPr="0041661F">
        <w:rPr>
          <w:rFonts w:ascii="Times New Roman" w:hAnsi="Times New Roman"/>
          <w:i/>
        </w:rPr>
        <w:t xml:space="preserve">През последните години продължителността на живота нараства устойчиво, макар и с регионални диспропорции и оставайки най-ниска в ЕС. Публичните разходи за </w:t>
      </w:r>
      <w:r w:rsidRPr="0041661F">
        <w:rPr>
          <w:rFonts w:ascii="Times New Roman" w:hAnsi="Times New Roman"/>
          <w:b/>
          <w:i/>
        </w:rPr>
        <w:t>здравеопазване</w:t>
      </w:r>
      <w:r w:rsidRPr="0041661F">
        <w:rPr>
          <w:rFonts w:ascii="Times New Roman" w:hAnsi="Times New Roman"/>
          <w:i/>
        </w:rPr>
        <w:t xml:space="preserve"> остават ниски, а преките плащания на потребителите са най-високите в ЕС, със значителни импликации върху достъпа до здравни услуги. Сериозни рискови фактори (тютюнопушене, употреба на алкохол, затлъстяване, небалансирано хранене и ниска двигателна активност) продължават да обхващат голяма част от населението и да застрашават здравето му. Предизвикателство пред намаляването на преждевременната смъртност е повишаването на здравната култура, особено сред малцинствените групи, които се характеризират с ограничен достъп до здравни услуги. Въпреки позитивни развития, детската и предотвратимата смъртност остават високи. Осигуреността на населението с медицински специалисти е относително добра, но с териториални диспропорции и с неблагоприятна перспектива, във връзка с емиграцията на квалифицирани специалисти и малък брой присъединяващи се към работната сила в системата на здравеопазването. Значителен потенциал за подобряване на ефективността на системата се крие в засилването на ролята на първичната помощ за сметка на болничното лечение</w:t>
      </w:r>
      <w:r w:rsidRPr="001F4543">
        <w:rPr>
          <w:rFonts w:ascii="Times New Roman" w:hAnsi="Times New Roman"/>
          <w:i/>
        </w:rPr>
        <w:t>, както и в интензифициране на процесите на навлизане на електронното управление в системата на здравеопазването</w:t>
      </w:r>
      <w:r w:rsidRPr="0041661F">
        <w:rPr>
          <w:rFonts w:ascii="Times New Roman" w:hAnsi="Times New Roman"/>
          <w:i/>
        </w:rPr>
        <w:t>.</w:t>
      </w:r>
    </w:p>
    <w:p w:rsidR="00AE0F90" w:rsidRPr="004D186D" w:rsidRDefault="00AE0F90" w:rsidP="00AE0F90">
      <w:pPr>
        <w:jc w:val="both"/>
        <w:rPr>
          <w:rFonts w:ascii="Times New Roman" w:hAnsi="Times New Roman"/>
          <w:i/>
        </w:rPr>
      </w:pPr>
      <w:r w:rsidRPr="004D186D">
        <w:rPr>
          <w:rFonts w:ascii="Times New Roman" w:hAnsi="Times New Roman"/>
          <w:i/>
        </w:rPr>
        <w:t xml:space="preserve">С постепенното отшумяване на ефектите от кризата, условията на </w:t>
      </w:r>
      <w:r w:rsidRPr="00E12529">
        <w:rPr>
          <w:rFonts w:ascii="Times New Roman" w:hAnsi="Times New Roman"/>
          <w:b/>
          <w:i/>
        </w:rPr>
        <w:t>пазара на труда</w:t>
      </w:r>
      <w:r w:rsidRPr="004D186D">
        <w:rPr>
          <w:rFonts w:ascii="Times New Roman" w:hAnsi="Times New Roman"/>
          <w:i/>
        </w:rPr>
        <w:t xml:space="preserve"> се подобряват, но продължават да са налице предизвикателства. Равнището на безработица намалява постоянно след достигнатия пик в годините на криза и отново достига нива, по-ниски от средните за ЕС. Равнището на заетост обаче остава далеч както от националната цел за 2020 г., така и от средното ниво в ЕС. Неблагоприятни демографски тенденции и някои структурни проблеми остават основни пречки пред нормалното функциониране на пазара на труда. Населението продължава да намалява и застарява. Делът на дълготрайно безработните остава висок, а коефициентът на икономическа активност – въпреки отбелязано подобрение – изостава от средните за ЕС нива. Все още значителен процент млади хора не участват в никаква форма на заетост, образование или обучение. Нараства недостигът на труд, отправяйки допълнително предизвикателство пред активните мерки на пазара на труда. Производителността на труда продължава да нараства, но остава далеч от средната за ЕС.</w:t>
      </w:r>
    </w:p>
    <w:p w:rsidR="00AE0F90" w:rsidRPr="004D186D" w:rsidRDefault="00AE0F90" w:rsidP="00AE0F90">
      <w:pPr>
        <w:jc w:val="both"/>
        <w:rPr>
          <w:rFonts w:ascii="Times New Roman" w:hAnsi="Times New Roman"/>
          <w:i/>
        </w:rPr>
      </w:pPr>
      <w:r w:rsidRPr="00062A45">
        <w:rPr>
          <w:rFonts w:ascii="Times New Roman" w:hAnsi="Times New Roman"/>
          <w:b/>
          <w:i/>
        </w:rPr>
        <w:t>Бедността и социалното изключване</w:t>
      </w:r>
      <w:r w:rsidRPr="00062A45">
        <w:rPr>
          <w:rFonts w:ascii="Times New Roman" w:hAnsi="Times New Roman"/>
          <w:i/>
        </w:rPr>
        <w:t xml:space="preserve"> продължават да представляват сериозни предизвикателства. Реализираният икономически растеж не е достатъчно приобщаващ, за да способства намаляването на социалните неравенства. Относителният дял на лицата, изложени на риск от бедност, е сред най-високите в ЕС, като нараства допълнително в годините след кризата. Значително по-голям е рискът от бедност при някои от най-уязвимите групи от населението като безработните и пенсионерите. Неравенството в доходите продължава да се увеличава. Социалните трансфери имат много ограничено въздействие върху намаляването на бедността и неравенството. Достъпът до социални услуги се характеризира с големи различия между селските и градските райони и остава предизвикателство за най-уязвимите работници</w:t>
      </w:r>
      <w:r w:rsidRPr="004D186D">
        <w:rPr>
          <w:rFonts w:ascii="Times New Roman" w:hAnsi="Times New Roman"/>
          <w:i/>
        </w:rPr>
        <w:t>.</w:t>
      </w:r>
    </w:p>
    <w:p w:rsidR="00AE0F90" w:rsidRPr="00C772C3" w:rsidRDefault="00AE0F90" w:rsidP="00AE0F90">
      <w:pPr>
        <w:jc w:val="both"/>
        <w:rPr>
          <w:rFonts w:ascii="Times New Roman" w:hAnsi="Times New Roman"/>
          <w:i/>
        </w:rPr>
      </w:pPr>
      <w:r w:rsidRPr="00C772C3">
        <w:rPr>
          <w:rFonts w:ascii="Times New Roman" w:hAnsi="Times New Roman"/>
          <w:i/>
        </w:rPr>
        <w:lastRenderedPageBreak/>
        <w:t xml:space="preserve">Икономическият растеж все повече зависи от степента на използване на двигателите за конкурентоспособност – иновациите, продуктите с висока добавена стойност и регионалната специализация. Въпреки отбелязаното подобрение в капацитета за иновации на частния сектор в последните години, </w:t>
      </w:r>
      <w:r w:rsidRPr="00C772C3">
        <w:rPr>
          <w:rFonts w:ascii="Times New Roman" w:hAnsi="Times New Roman"/>
          <w:b/>
          <w:i/>
        </w:rPr>
        <w:t>иновационната система</w:t>
      </w:r>
      <w:r w:rsidRPr="00C772C3">
        <w:rPr>
          <w:rFonts w:ascii="Times New Roman" w:hAnsi="Times New Roman"/>
          <w:i/>
        </w:rPr>
        <w:t xml:space="preserve"> на страната работи под потенциала си, с всички произтичащи от това негативни последици по отношение на стремежа за изграждане на икономика, базирана на знанието. Секторът на НИРД в България е изправен пред някои сериозни предизвикателства, които изискват промяна в политиката. Системата е слаба главно поради значителното </w:t>
      </w:r>
      <w:proofErr w:type="spellStart"/>
      <w:r w:rsidRPr="00C772C3">
        <w:rPr>
          <w:rFonts w:ascii="Times New Roman" w:hAnsi="Times New Roman"/>
          <w:i/>
        </w:rPr>
        <w:t>недофинансиране</w:t>
      </w:r>
      <w:proofErr w:type="spellEnd"/>
      <w:r w:rsidRPr="00C772C3">
        <w:rPr>
          <w:rFonts w:ascii="Times New Roman" w:hAnsi="Times New Roman"/>
          <w:i/>
        </w:rPr>
        <w:t xml:space="preserve">, </w:t>
      </w:r>
      <w:r w:rsidR="00AA3CB5" w:rsidRPr="00AA3CB5">
        <w:rPr>
          <w:rFonts w:ascii="Times New Roman" w:hAnsi="Times New Roman"/>
          <w:i/>
        </w:rPr>
        <w:t>неефективното  взаимодействие между бизнеса и научната сфера</w:t>
      </w:r>
      <w:r w:rsidR="00AA3CB5">
        <w:rPr>
          <w:rFonts w:ascii="Times New Roman" w:hAnsi="Times New Roman"/>
          <w:i/>
        </w:rPr>
        <w:t xml:space="preserve">, </w:t>
      </w:r>
      <w:r w:rsidRPr="00C772C3">
        <w:rPr>
          <w:rFonts w:ascii="Times New Roman" w:hAnsi="Times New Roman"/>
          <w:i/>
        </w:rPr>
        <w:t xml:space="preserve">недостатъците в системата на висшето образование, недостатъчния </w:t>
      </w:r>
      <w:r w:rsidR="00AA3CB5">
        <w:rPr>
          <w:rFonts w:ascii="Times New Roman" w:hAnsi="Times New Roman"/>
          <w:i/>
        </w:rPr>
        <w:t xml:space="preserve">приложен </w:t>
      </w:r>
      <w:r w:rsidRPr="00C772C3">
        <w:rPr>
          <w:rFonts w:ascii="Times New Roman" w:hAnsi="Times New Roman"/>
          <w:i/>
        </w:rPr>
        <w:t>изследователски капацитет и липсата на достатъчно модерни инфраструктури, които да отговарят на съвременните изисквания. Тези фактори влияят върху качеството и приложимостта на предприетите изследвания и способността да се конкурират в науката на европейско и световно равнище. Въпреки някои позитивни развития по отношение на човешките ресурси, ангажирани с научни изследвания, нормалното функциониране на сектора изисква удвояване на заетия персонал и допълнително оптимизиране на структурата му, в посока увеличаване на присъствието на частния сектор и особено на университетите. Последните трябва да бъдат адекватно стимулирани за участието им в научноизследователска и иновационна дейност, което по всяка вероятност ще изисква консолидиране на сектора. Съществува силна необходимост от по-нататъшно подпомагане на интеграцията и европеизацията на българската наука, научни изследвания и иновации</w:t>
      </w:r>
      <w:r>
        <w:rPr>
          <w:rFonts w:ascii="Times New Roman" w:hAnsi="Times New Roman"/>
          <w:i/>
        </w:rPr>
        <w:t>.</w:t>
      </w:r>
    </w:p>
    <w:p w:rsidR="00AE0F90" w:rsidRPr="00E277CD" w:rsidRDefault="00AE0F90" w:rsidP="00AE0F90">
      <w:pPr>
        <w:jc w:val="both"/>
        <w:rPr>
          <w:rFonts w:ascii="Times New Roman" w:hAnsi="Times New Roman"/>
          <w:i/>
        </w:rPr>
      </w:pPr>
      <w:r w:rsidRPr="009F5DA9">
        <w:rPr>
          <w:rFonts w:ascii="Times New Roman" w:hAnsi="Times New Roman"/>
          <w:i/>
        </w:rPr>
        <w:t xml:space="preserve">Секторът на </w:t>
      </w:r>
      <w:r w:rsidRPr="009F5DA9">
        <w:rPr>
          <w:rFonts w:ascii="Times New Roman" w:hAnsi="Times New Roman"/>
          <w:b/>
          <w:i/>
        </w:rPr>
        <w:t>информационните и комуникационни технологии</w:t>
      </w:r>
      <w:r w:rsidRPr="009F5DA9">
        <w:rPr>
          <w:rFonts w:ascii="Times New Roman" w:hAnsi="Times New Roman"/>
          <w:i/>
        </w:rPr>
        <w:t xml:space="preserve"> в страната се развива динамично, увеличавайки приноса си в добавената стойност, заетостта и износа. ИКТ са основен двигател на цифровата революция в глобален план, но въпреки някои сравнителни предимства, България изостава в </w:t>
      </w:r>
      <w:r w:rsidRPr="009F5DA9">
        <w:rPr>
          <w:rFonts w:ascii="Times New Roman" w:hAnsi="Times New Roman"/>
          <w:b/>
          <w:i/>
        </w:rPr>
        <w:t>дигитализирането на икономиката</w:t>
      </w:r>
      <w:r w:rsidRPr="009F5DA9">
        <w:rPr>
          <w:rFonts w:ascii="Times New Roman" w:hAnsi="Times New Roman"/>
          <w:i/>
        </w:rPr>
        <w:t xml:space="preserve"> си. Въпреки че по оперативните програми се подкрепят проекти, свързани с насърчаване цифровизацията сред бизнеса, средната интензивност на цифровизиране на българските предприятия е едва 12%, като повече от 2/3 от предприятията в страната се характеризират с много нисък индекс на дигитализация, което поставя под въпрос ефективността на прилаганите мерки. Основните предизвикателства пред страната са свързани с много ниското ниво на умения в областта на цифровите технологии у населението, наред с недостига на специалисти по ИКТ и недостатъчните инвестиции в цифрова инфраструктура. Налице е необходимост от интензифициране на усилията по подобряване и ускоряване разгръщането на широколентовия достъп до интернет, предвид основополагащата роля на модерната широколентовата инфраструктура за постигането на т.нар. цифров растеж. Същевременно, трябва да бъдат предприети действия за повишаване на ефективността на изпълняваните мерки за повишаване на цифровите умения на населението, а обхватът им да бъде увеличен значително при разгръщане на партньорства с частния сектор</w:t>
      </w:r>
      <w:r>
        <w:rPr>
          <w:rFonts w:ascii="Times New Roman" w:hAnsi="Times New Roman"/>
          <w:i/>
        </w:rPr>
        <w:t>.</w:t>
      </w:r>
    </w:p>
    <w:p w:rsidR="00AE0F90" w:rsidRDefault="00AE0F90" w:rsidP="00AE0F90">
      <w:pPr>
        <w:jc w:val="both"/>
        <w:rPr>
          <w:rFonts w:ascii="Times New Roman" w:hAnsi="Times New Roman"/>
          <w:i/>
        </w:rPr>
      </w:pPr>
      <w:r w:rsidRPr="00C0583A">
        <w:rPr>
          <w:rFonts w:ascii="Times New Roman" w:hAnsi="Times New Roman"/>
          <w:i/>
        </w:rPr>
        <w:t xml:space="preserve">Усилията за подобряване на </w:t>
      </w:r>
      <w:r w:rsidRPr="00C0583A">
        <w:rPr>
          <w:rFonts w:ascii="Times New Roman" w:hAnsi="Times New Roman"/>
          <w:b/>
          <w:i/>
        </w:rPr>
        <w:t>бизнес средата</w:t>
      </w:r>
      <w:r w:rsidRPr="00C0583A">
        <w:rPr>
          <w:rFonts w:ascii="Times New Roman" w:hAnsi="Times New Roman"/>
          <w:i/>
        </w:rPr>
        <w:t xml:space="preserve"> изостават спрямо тези в сравнимите икономики и България губи позиции в глобален план. Правенето на бизнес в страната продължава да бъде възпрепятствано от регулаторната рамка в области като издаване на разрешително за строеж, свързване с електричество, уредба на несъстоятелността; предизвикателства остават  липсата на адекватна инфраструктура и недостигът на квалифицирани кадри с адекватни умения; честите промени в нормативната уредба и бавното прилагане отслабват ефективността на законодателството и възпират инвестициите. Страната остава в групата с най-слаби показатели за добро управление в ЕС. Качество на публичните институции продължава да е лимитиращ фактор пред конкурентоспособността на икономиката. Въпреки някои постижения по отношение на намаляването на административната тежест, тя все още остава значителна. България изостава по отношение на </w:t>
      </w:r>
      <w:r w:rsidRPr="00C0583A">
        <w:rPr>
          <w:rFonts w:ascii="Times New Roman" w:hAnsi="Times New Roman"/>
          <w:b/>
          <w:i/>
        </w:rPr>
        <w:t>електронното управление</w:t>
      </w:r>
      <w:r w:rsidRPr="00C0583A">
        <w:rPr>
          <w:rFonts w:ascii="Times New Roman" w:hAnsi="Times New Roman"/>
          <w:i/>
        </w:rPr>
        <w:t xml:space="preserve">, но през последните няколко години се наблюдава подобрение в резултат на консолидирането на функциите и процесите, свързвани с електронното управление, в единна структура и предприетите мерки за подобряване на електронните обществени </w:t>
      </w:r>
      <w:r w:rsidRPr="00C0583A">
        <w:rPr>
          <w:rFonts w:ascii="Times New Roman" w:hAnsi="Times New Roman"/>
          <w:i/>
        </w:rPr>
        <w:lastRenderedPageBreak/>
        <w:t>услуги. Сериозен напредък е постигнат по адресиране на проблемите в областта на обществените поръчки, посредством амбициозна реформа, обвързана и с изпълнението на част от предварителните условия за европейските структурни и инвестиционни фондове. Въвеждането на електронни поръчки и използването на потенциала на централизираните покупки ще позволи допълнително оптимизиране на системата, при нарастване на публичността на възлагане, подобряване на общата административна ефективност, скъсяване на продължителността на процеса и намаляване на риска от корупция и измами.</w:t>
      </w:r>
    </w:p>
    <w:p w:rsidR="00AE0F90" w:rsidRDefault="00AE0F90" w:rsidP="00AE0F90">
      <w:pPr>
        <w:jc w:val="both"/>
        <w:rPr>
          <w:rFonts w:ascii="Times New Roman" w:hAnsi="Times New Roman"/>
          <w:i/>
        </w:rPr>
      </w:pPr>
      <w:r w:rsidRPr="00AF7B05">
        <w:rPr>
          <w:rFonts w:ascii="Times New Roman" w:hAnsi="Times New Roman"/>
          <w:i/>
        </w:rPr>
        <w:t xml:space="preserve">Българските продукти стават все </w:t>
      </w:r>
      <w:r w:rsidRPr="00E12529">
        <w:rPr>
          <w:rFonts w:ascii="Times New Roman" w:hAnsi="Times New Roman"/>
          <w:b/>
          <w:i/>
        </w:rPr>
        <w:t>по-конкурентоспособни</w:t>
      </w:r>
      <w:r w:rsidRPr="00AF7B05">
        <w:rPr>
          <w:rFonts w:ascii="Times New Roman" w:hAnsi="Times New Roman"/>
          <w:i/>
        </w:rPr>
        <w:t xml:space="preserve"> и страната увеличава трайно присъствието си в световната и вътрешната за ЕС търговия. Нараства диверсификацията на изнасяните продукти при повишаване на присъствието на инвестиционните стоки, но при все още преобладаващ дял на суровините. Повишава се средната технологична интензивност на българския износ, но страната продължава да изнася предимно ниско и средно-ниско технологични продукти. Повишаването на специализацията в продукти и отрасли, характеризиращи се с по-висока технологична и НИРД интензивност (а следователно – и с по-висока добавена стойност) – при целенасочена и добре фокусирана правителствена подкрепа – ще позволи заемането на по-добри  и по-престижни позиции в глобалните вериги на стойността.</w:t>
      </w:r>
    </w:p>
    <w:p w:rsidR="00AE0F90" w:rsidRDefault="00AE0F90" w:rsidP="00AE0F90">
      <w:pPr>
        <w:jc w:val="both"/>
        <w:rPr>
          <w:rFonts w:ascii="Times New Roman" w:hAnsi="Times New Roman"/>
          <w:i/>
          <w:lang w:val="en-US"/>
        </w:rPr>
      </w:pPr>
      <w:r w:rsidRPr="00E12529">
        <w:rPr>
          <w:rFonts w:ascii="Times New Roman" w:hAnsi="Times New Roman"/>
          <w:b/>
          <w:i/>
        </w:rPr>
        <w:t>Секторът на малките и средни предприятия</w:t>
      </w:r>
      <w:r w:rsidRPr="00CB4B45">
        <w:rPr>
          <w:rFonts w:ascii="Times New Roman" w:hAnsi="Times New Roman"/>
          <w:i/>
        </w:rPr>
        <w:t xml:space="preserve"> увеличава присъствието си в заетостта и реализираните обороти, но все още не възстановява нивото на инвестиционна активност  от годините преди кризата. Достъпът до финансиране за сектора се подобрява значително – главно по линия на банковото кредитиране и – в по-малка степен – капиталовото финансиране, докато рисковото финансиране остава неразвито. Основни пречки пред по-бурното развитие на сектора са слабата иновационна активност, недостига на квалифицирани кадри и предприемачески умения и ниската степен на интернационализация на дейността.</w:t>
      </w:r>
    </w:p>
    <w:p w:rsidR="00AE0F90" w:rsidRDefault="00AE0F90" w:rsidP="00AE0F90">
      <w:pPr>
        <w:jc w:val="both"/>
        <w:rPr>
          <w:rFonts w:ascii="Times New Roman" w:hAnsi="Times New Roman"/>
          <w:i/>
        </w:rPr>
      </w:pPr>
      <w:r w:rsidRPr="009772DA">
        <w:rPr>
          <w:rFonts w:ascii="Times New Roman" w:hAnsi="Times New Roman"/>
          <w:i/>
        </w:rPr>
        <w:t xml:space="preserve">Продължава тенденцията на намаляване на дела на </w:t>
      </w:r>
      <w:r w:rsidRPr="00E12529">
        <w:rPr>
          <w:rFonts w:ascii="Times New Roman" w:hAnsi="Times New Roman"/>
          <w:b/>
          <w:i/>
        </w:rPr>
        <w:t>селското стопанство</w:t>
      </w:r>
      <w:r w:rsidRPr="009772DA">
        <w:rPr>
          <w:rFonts w:ascii="Times New Roman" w:hAnsi="Times New Roman"/>
          <w:i/>
        </w:rPr>
        <w:t xml:space="preserve"> в брутната добавена стойност на страната. Секторът свива заетите и продукцията си, при допълнително нарастване на изостаналостта му по отношение на производителността на труда. Селскостопанският износ нараства при неустойчив модел на фона на екстензивно развитие и конюнктурни и ценови предимства, свързани с растежа на субсидиите в сектора. </w:t>
      </w:r>
      <w:r w:rsidRPr="007B2434">
        <w:rPr>
          <w:rFonts w:ascii="Times New Roman" w:hAnsi="Times New Roman"/>
          <w:i/>
        </w:rPr>
        <w:t xml:space="preserve">Потенциалът на отрасъла за интензивно развитие остава възпрепятстван от продължаващата </w:t>
      </w:r>
      <w:proofErr w:type="spellStart"/>
      <w:r w:rsidRPr="007B2434">
        <w:rPr>
          <w:rFonts w:ascii="Times New Roman" w:hAnsi="Times New Roman"/>
          <w:i/>
        </w:rPr>
        <w:t>доминация</w:t>
      </w:r>
      <w:proofErr w:type="spellEnd"/>
      <w:r w:rsidRPr="007B2434">
        <w:rPr>
          <w:rFonts w:ascii="Times New Roman" w:hAnsi="Times New Roman"/>
          <w:i/>
        </w:rPr>
        <w:t xml:space="preserve"> на стопанства</w:t>
      </w:r>
      <w:r>
        <w:rPr>
          <w:rFonts w:ascii="Times New Roman" w:hAnsi="Times New Roman"/>
          <w:i/>
        </w:rPr>
        <w:t>та</w:t>
      </w:r>
      <w:r w:rsidRPr="007B2434">
        <w:rPr>
          <w:rFonts w:ascii="Times New Roman" w:hAnsi="Times New Roman"/>
          <w:i/>
        </w:rPr>
        <w:t xml:space="preserve"> с малък икономически размер (въпреки протичаща тенденция на окрупняване) и изключително ниския дял на напояваните земеделски площи. </w:t>
      </w:r>
      <w:r w:rsidRPr="009772DA">
        <w:rPr>
          <w:rFonts w:ascii="Times New Roman" w:hAnsi="Times New Roman"/>
          <w:i/>
        </w:rPr>
        <w:t>България е с най-динамично развиващо се биологично производство в ЕС през последните години, но потенциалът, който секторът има, свързан с благоприятни климатични условия и запазени от екологична гледна точка райони, не се валоризира в достатъчна степен.</w:t>
      </w:r>
      <w:r w:rsidRPr="00C402DC">
        <w:t xml:space="preserve"> </w:t>
      </w:r>
      <w:r w:rsidRPr="00C402DC">
        <w:rPr>
          <w:rFonts w:ascii="Times New Roman" w:hAnsi="Times New Roman"/>
          <w:i/>
        </w:rPr>
        <w:t xml:space="preserve">Рибното стопанство на страната се развива с високи темпове, позитивно повлияно от специалния фокус на политиката и насочването на средства от ЕС. Общото производство и износът на </w:t>
      </w:r>
      <w:proofErr w:type="spellStart"/>
      <w:r w:rsidRPr="00C402DC">
        <w:rPr>
          <w:rFonts w:ascii="Times New Roman" w:hAnsi="Times New Roman"/>
          <w:i/>
        </w:rPr>
        <w:t>аквакултури</w:t>
      </w:r>
      <w:proofErr w:type="spellEnd"/>
      <w:r w:rsidRPr="00C402DC">
        <w:rPr>
          <w:rFonts w:ascii="Times New Roman" w:hAnsi="Times New Roman"/>
          <w:i/>
        </w:rPr>
        <w:t xml:space="preserve"> нарастват чувствително, но лошото състояние на риболовния флот, ниското качество на рибарската инфраструктура и остарялата материално-техническа база в </w:t>
      </w:r>
      <w:proofErr w:type="spellStart"/>
      <w:r w:rsidRPr="00C402DC">
        <w:rPr>
          <w:rFonts w:ascii="Times New Roman" w:hAnsi="Times New Roman"/>
          <w:i/>
        </w:rPr>
        <w:t>аквакултурните</w:t>
      </w:r>
      <w:proofErr w:type="spellEnd"/>
      <w:r w:rsidRPr="00C402DC">
        <w:rPr>
          <w:rFonts w:ascii="Times New Roman" w:hAnsi="Times New Roman"/>
          <w:i/>
        </w:rPr>
        <w:t xml:space="preserve"> стопанства продължават да са пречка пред интензивното развитие на сектора</w:t>
      </w:r>
      <w:r>
        <w:rPr>
          <w:rFonts w:ascii="Times New Roman" w:hAnsi="Times New Roman"/>
          <w:i/>
        </w:rPr>
        <w:t>.</w:t>
      </w:r>
    </w:p>
    <w:p w:rsidR="00AE0F90" w:rsidRDefault="00AE0F90" w:rsidP="00AE0F90">
      <w:pPr>
        <w:jc w:val="both"/>
        <w:rPr>
          <w:rFonts w:ascii="Times New Roman" w:hAnsi="Times New Roman"/>
          <w:i/>
        </w:rPr>
      </w:pPr>
      <w:r w:rsidRPr="00E2163F">
        <w:rPr>
          <w:rFonts w:ascii="Times New Roman" w:hAnsi="Times New Roman"/>
          <w:i/>
        </w:rPr>
        <w:t xml:space="preserve">Въпреки голямото разнообразие от туристически ресурси, с които разполага страната, през последните </w:t>
      </w:r>
      <w:r>
        <w:rPr>
          <w:rFonts w:ascii="Times New Roman" w:hAnsi="Times New Roman"/>
          <w:i/>
        </w:rPr>
        <w:t>десет</w:t>
      </w:r>
      <w:r w:rsidRPr="00E2163F">
        <w:rPr>
          <w:rFonts w:ascii="Times New Roman" w:hAnsi="Times New Roman"/>
          <w:i/>
        </w:rPr>
        <w:t xml:space="preserve"> години </w:t>
      </w:r>
      <w:r w:rsidRPr="008423DB">
        <w:rPr>
          <w:rFonts w:ascii="Times New Roman" w:hAnsi="Times New Roman"/>
          <w:b/>
          <w:i/>
        </w:rPr>
        <w:t>секторът на туризма</w:t>
      </w:r>
      <w:r w:rsidRPr="00E2163F">
        <w:rPr>
          <w:rFonts w:ascii="Times New Roman" w:hAnsi="Times New Roman"/>
          <w:i/>
        </w:rPr>
        <w:t xml:space="preserve"> намалява присъствието си в добавената стойност и заетостта. Развитието на индустрията почива на екстензивно използване на природните туристически ресурси и на ниска </w:t>
      </w:r>
      <w:proofErr w:type="spellStart"/>
      <w:r w:rsidRPr="00E2163F">
        <w:rPr>
          <w:rFonts w:ascii="Times New Roman" w:hAnsi="Times New Roman"/>
          <w:i/>
        </w:rPr>
        <w:t>факторна</w:t>
      </w:r>
      <w:proofErr w:type="spellEnd"/>
      <w:r w:rsidRPr="00E2163F">
        <w:rPr>
          <w:rFonts w:ascii="Times New Roman" w:hAnsi="Times New Roman"/>
          <w:i/>
        </w:rPr>
        <w:t xml:space="preserve"> себестойност, като предлага основно масов морски и планински туризъм. Националната стратегия за развитието на отрасъла дефинира 13 туристически продукта (в различна степен на зрялост), в доставката на които ще специализират туристическите райони на страната, с оглед на конкурентните им предимства. Своевременното достигане на целите на стратегията е значително предизвикателство, не на последно място поради ограничения финансов ресурс.</w:t>
      </w:r>
    </w:p>
    <w:p w:rsidR="00AE0F90" w:rsidRPr="002F38E5" w:rsidRDefault="00AE0F90" w:rsidP="00AE0F90">
      <w:pPr>
        <w:jc w:val="both"/>
        <w:rPr>
          <w:rFonts w:ascii="Times New Roman" w:hAnsi="Times New Roman"/>
          <w:i/>
          <w:highlight w:val="yellow"/>
        </w:rPr>
      </w:pPr>
      <w:r w:rsidRPr="002F38E5">
        <w:rPr>
          <w:rFonts w:ascii="Times New Roman" w:hAnsi="Times New Roman"/>
          <w:b/>
          <w:i/>
        </w:rPr>
        <w:lastRenderedPageBreak/>
        <w:t>Ресурсната интензивност</w:t>
      </w:r>
      <w:r w:rsidRPr="002F38E5">
        <w:rPr>
          <w:rFonts w:ascii="Times New Roman" w:hAnsi="Times New Roman"/>
          <w:i/>
        </w:rPr>
        <w:t xml:space="preserve"> на икономиката намалява, но с изоставащи темпове спрямо отбелязваните в ЕС, като разликата между страната и общността нараства допълнително, а Румъния успява да изпревари страната на предпоследното място в ЕС. Въпреки отбелязано скромно подобрение, България остава с най-енергоемката икономика в ЕС, изразходвайки 3.6 пъти повече енергийни ресурси за производство на единица БВП от средния енергиен разход в ЕС. Усилията за разнообразяване на енергийния микс на страната и намаляване на зависимостта от внос на енергийни ресурси се забавят в последните години след постигнато значително подобрение в периода 2007-2013 г. През 2016 г. </w:t>
      </w:r>
      <w:r w:rsidRPr="002F38E5">
        <w:rPr>
          <w:rFonts w:ascii="Times New Roman" w:hAnsi="Times New Roman"/>
          <w:b/>
          <w:i/>
        </w:rPr>
        <w:t>емисиите на парникови газове</w:t>
      </w:r>
      <w:r w:rsidRPr="002F38E5">
        <w:rPr>
          <w:rFonts w:ascii="Times New Roman" w:hAnsi="Times New Roman"/>
          <w:i/>
        </w:rPr>
        <w:t xml:space="preserve"> са на 43% под нивото им от базисната 1990 г., което дава увереност, че страната ще  постигне целта си за 2020 г. за емисиите със значителен марж. Емисиите на парникови газове на глава от населението в България остават под средното за ЕС ниво. Въпреки това България продължава да е най-въглеродно интензивната държава – членка на ЕС. Ниската ресурсна – и в частност енергийна – ефективност остава водещо препятствие пред конкурентоспособността на икономиката и устойчивото й развитие. Въпреки предприетите мерки за подкрепа на технологичното обновление на икономиката, финансирани и по оперативните програми, наблюдаваният напредък е крайно недостатъчен, което поставя въпроса за адекватност на обхвата на изпълняваните интервенции и/или тяхната ефективност.</w:t>
      </w:r>
    </w:p>
    <w:p w:rsidR="00AE0F90" w:rsidRPr="00C0583A" w:rsidRDefault="00AE0F90" w:rsidP="00AE0F90">
      <w:pPr>
        <w:jc w:val="both"/>
        <w:rPr>
          <w:rFonts w:ascii="Times New Roman" w:hAnsi="Times New Roman"/>
          <w:i/>
          <w:highlight w:val="yellow"/>
        </w:rPr>
      </w:pPr>
      <w:r w:rsidRPr="00E8330D">
        <w:rPr>
          <w:rFonts w:ascii="Times New Roman" w:hAnsi="Times New Roman"/>
          <w:i/>
        </w:rPr>
        <w:t xml:space="preserve">Секторът на </w:t>
      </w:r>
      <w:r w:rsidRPr="00E8330D">
        <w:rPr>
          <w:rFonts w:ascii="Times New Roman" w:hAnsi="Times New Roman"/>
          <w:b/>
          <w:i/>
        </w:rPr>
        <w:t>транспорта</w:t>
      </w:r>
      <w:r w:rsidRPr="00E8330D">
        <w:rPr>
          <w:rFonts w:ascii="Times New Roman" w:hAnsi="Times New Roman"/>
          <w:i/>
        </w:rPr>
        <w:t xml:space="preserve"> намалява важността си в структурата на икономиката, донякъде в резултат на глобалната икономическа криза, но остава с по-голяма значимост в страната в сравнение с ЕС по отношение на добавена стойност и формиране на заетост. Структурата на пътната мрежа остава почти непроменена, при незначително нарастване на дела на автомагистралите, което е недостатъчно за преодоляване на същественото изоставане по отношение на покритието със скоростни пътища спрямо ЕС. Около 1/3 от републиканската пътна мрежа и над 2/3 от общинската такава остават с лошо качество на пътната настилка със значими импликации за свързаността на регионите</w:t>
      </w:r>
      <w:r>
        <w:rPr>
          <w:rFonts w:ascii="Times New Roman" w:hAnsi="Times New Roman"/>
          <w:i/>
        </w:rPr>
        <w:t>, както и за пътната безопасност</w:t>
      </w:r>
      <w:r w:rsidRPr="00E8330D">
        <w:rPr>
          <w:rFonts w:ascii="Times New Roman" w:hAnsi="Times New Roman"/>
          <w:i/>
        </w:rPr>
        <w:t xml:space="preserve">. Въвеждането на </w:t>
      </w:r>
      <w:proofErr w:type="spellStart"/>
      <w:r w:rsidRPr="00E8330D">
        <w:rPr>
          <w:rFonts w:ascii="Times New Roman" w:hAnsi="Times New Roman"/>
          <w:i/>
        </w:rPr>
        <w:t>тол</w:t>
      </w:r>
      <w:proofErr w:type="spellEnd"/>
      <w:r w:rsidRPr="00E8330D">
        <w:rPr>
          <w:rFonts w:ascii="Times New Roman" w:hAnsi="Times New Roman"/>
          <w:i/>
        </w:rPr>
        <w:t xml:space="preserve">-системата има потенциала да доведе до значително подобряване на пътната инфраструктура в обозрима перспектива. Изградеността и електрификацията на железопътната инфраструктура е на приемливо ниво, но състоянието й продължава да е проблематично, което – заедно с високата степен на </w:t>
      </w:r>
      <w:proofErr w:type="spellStart"/>
      <w:r w:rsidRPr="00E8330D">
        <w:rPr>
          <w:rFonts w:ascii="Times New Roman" w:hAnsi="Times New Roman"/>
          <w:i/>
        </w:rPr>
        <w:t>амортизираност</w:t>
      </w:r>
      <w:proofErr w:type="spellEnd"/>
      <w:r w:rsidRPr="00E8330D">
        <w:rPr>
          <w:rFonts w:ascii="Times New Roman" w:hAnsi="Times New Roman"/>
          <w:i/>
        </w:rPr>
        <w:t xml:space="preserve"> на подвижния и </w:t>
      </w:r>
      <w:proofErr w:type="spellStart"/>
      <w:r w:rsidRPr="00E8330D">
        <w:rPr>
          <w:rFonts w:ascii="Times New Roman" w:hAnsi="Times New Roman"/>
          <w:i/>
        </w:rPr>
        <w:t>тягов</w:t>
      </w:r>
      <w:proofErr w:type="spellEnd"/>
      <w:r w:rsidRPr="00E8330D">
        <w:rPr>
          <w:rFonts w:ascii="Times New Roman" w:hAnsi="Times New Roman"/>
          <w:i/>
        </w:rPr>
        <w:t xml:space="preserve"> състав – рефлектира в продължаващ отлив на ползватели на предлаганата услуга в пътническия сегмент. Либерализирането  на железопътния пазар за товарни превози води до навлизане на частни железопътни компании и ръст на относителния дял на железопътния сектор в сегмента, при изземване на пазарен дял от пътния товарен транспорт, който обаче все още запазва доминираща позиция.</w:t>
      </w:r>
      <w:r w:rsidRPr="00927CE5">
        <w:t xml:space="preserve"> </w:t>
      </w:r>
      <w:r w:rsidRPr="00927CE5">
        <w:rPr>
          <w:rFonts w:ascii="Times New Roman" w:hAnsi="Times New Roman"/>
          <w:i/>
        </w:rPr>
        <w:t>Водният транспорт в страната остава недостатъчно развит въпреки някои инвестиции през последните години, включително и със средства от ЕС. Основни проблеми остават влошеното техническо състояние на пристанищните терминали, лошото състояние на  инфраструктурните връзки с републиканската пътна и железопътна система и оставащите навигационни проблеми в българския участък на река Дунав.</w:t>
      </w:r>
    </w:p>
    <w:p w:rsidR="00AE0F90" w:rsidRPr="00C0583A" w:rsidRDefault="00AE0F90" w:rsidP="00AE0F90">
      <w:pPr>
        <w:jc w:val="both"/>
        <w:rPr>
          <w:rFonts w:ascii="Times New Roman" w:hAnsi="Times New Roman"/>
          <w:i/>
          <w:highlight w:val="yellow"/>
        </w:rPr>
      </w:pPr>
      <w:r w:rsidRPr="00B11448">
        <w:rPr>
          <w:rFonts w:ascii="Times New Roman" w:hAnsi="Times New Roman"/>
          <w:i/>
        </w:rPr>
        <w:t xml:space="preserve">След присъединяването си към ЕС България увеличава разходите си за </w:t>
      </w:r>
      <w:r w:rsidRPr="00B11448">
        <w:rPr>
          <w:rFonts w:ascii="Times New Roman" w:hAnsi="Times New Roman"/>
          <w:b/>
          <w:i/>
        </w:rPr>
        <w:t>опазване и възстановяване на околната среда</w:t>
      </w:r>
      <w:r w:rsidRPr="00B11448">
        <w:rPr>
          <w:rFonts w:ascii="Times New Roman" w:hAnsi="Times New Roman"/>
          <w:i/>
        </w:rPr>
        <w:t xml:space="preserve"> и постига подобрени</w:t>
      </w:r>
      <w:r>
        <w:rPr>
          <w:rFonts w:ascii="Times New Roman" w:hAnsi="Times New Roman"/>
          <w:i/>
        </w:rPr>
        <w:t>е</w:t>
      </w:r>
      <w:r w:rsidRPr="00B11448">
        <w:rPr>
          <w:rFonts w:ascii="Times New Roman" w:hAnsi="Times New Roman"/>
          <w:i/>
        </w:rPr>
        <w:t xml:space="preserve"> в своите екологични показатели, но остават някои значими предизвикателства. Системите за централно водоснабдяване покриват 99.3% от населението при високо качество на питейната вода, но загубите на вода от водопроводната мрежа остават високи предвид силната й </w:t>
      </w:r>
      <w:proofErr w:type="spellStart"/>
      <w:r w:rsidRPr="00B11448">
        <w:rPr>
          <w:rFonts w:ascii="Times New Roman" w:hAnsi="Times New Roman"/>
          <w:i/>
        </w:rPr>
        <w:t>амортизираност</w:t>
      </w:r>
      <w:proofErr w:type="spellEnd"/>
      <w:r w:rsidRPr="00B11448">
        <w:rPr>
          <w:rFonts w:ascii="Times New Roman" w:hAnsi="Times New Roman"/>
          <w:i/>
        </w:rPr>
        <w:t xml:space="preserve">. Нараства свързаността на населението с обществена канализация и пречиствателни станции за отпадъчни води при подобряване на технологиите на пречистване, но нуждите за инфраструктурни инвестиции в отрасъла остават високи, предвид ангажиментите на страната за постигане на съответствие с европейските директиви. Въпреки постигнатото значително намаление в емисиите на серни и азотни оксиди, летливи органични съединения и амоняк, качеството на атмосферния въздух продължава да буди сериозна загриженост, поради интензифициране на проблема с концентрацията на фини </w:t>
      </w:r>
      <w:proofErr w:type="spellStart"/>
      <w:r w:rsidRPr="00B11448">
        <w:rPr>
          <w:rFonts w:ascii="Times New Roman" w:hAnsi="Times New Roman"/>
          <w:i/>
        </w:rPr>
        <w:t>прахови</w:t>
      </w:r>
      <w:proofErr w:type="spellEnd"/>
      <w:r w:rsidRPr="00B11448">
        <w:rPr>
          <w:rFonts w:ascii="Times New Roman" w:hAnsi="Times New Roman"/>
          <w:i/>
        </w:rPr>
        <w:t xml:space="preserve"> частици. Генерираните </w:t>
      </w:r>
      <w:r w:rsidRPr="00B11448">
        <w:rPr>
          <w:rFonts w:ascii="Times New Roman" w:hAnsi="Times New Roman"/>
          <w:i/>
        </w:rPr>
        <w:lastRenderedPageBreak/>
        <w:t>битови отпадъци следват тенденция на трайно намаление, при нарастване на дела на третираните отпадъци и увеличаване на покритието на населението със системи за организирано сметосъбиране, но предизвикателство остава намаляването на дела на депонираните отпадъци</w:t>
      </w:r>
      <w:r>
        <w:rPr>
          <w:rFonts w:ascii="Times New Roman" w:hAnsi="Times New Roman"/>
          <w:i/>
        </w:rPr>
        <w:t>,</w:t>
      </w:r>
      <w:r w:rsidRPr="00871680">
        <w:t xml:space="preserve"> </w:t>
      </w:r>
      <w:r w:rsidRPr="00871680">
        <w:rPr>
          <w:rFonts w:ascii="Times New Roman" w:hAnsi="Times New Roman"/>
          <w:i/>
        </w:rPr>
        <w:t>както и въвеждането на принципа „замърсителя плаща“</w:t>
      </w:r>
      <w:r w:rsidRPr="00B11448">
        <w:rPr>
          <w:rFonts w:ascii="Times New Roman" w:hAnsi="Times New Roman"/>
          <w:i/>
        </w:rPr>
        <w:t>. Основно предизвикателство остава и осигуряването на надеждно прилагане на законодателството за опазване на природата. България изостава значително в процеса по трансформиране на икономиката си от линейна към кръгова, в условия на отсъствие на всеобхватен стратегически документ, който да постави основите на такава трансформация.</w:t>
      </w:r>
      <w:r w:rsidRPr="00C671D7">
        <w:t xml:space="preserve"> </w:t>
      </w:r>
      <w:r w:rsidRPr="00C671D7">
        <w:rPr>
          <w:rFonts w:ascii="Times New Roman" w:hAnsi="Times New Roman"/>
          <w:i/>
        </w:rPr>
        <w:t>Усилията за изграждане на цялостна и разгърната система за управление на рисковете от бедствия все още не дават задоволителни резултати, не на последно място и поради бюджетни ограничения.</w:t>
      </w:r>
    </w:p>
    <w:p w:rsidR="00AE0F90" w:rsidRDefault="00AE0F90" w:rsidP="00AE0F90">
      <w:pPr>
        <w:jc w:val="both"/>
        <w:rPr>
          <w:rFonts w:ascii="Times New Roman" w:hAnsi="Times New Roman"/>
          <w:i/>
        </w:rPr>
      </w:pPr>
      <w:r w:rsidRPr="00574985">
        <w:rPr>
          <w:rFonts w:ascii="Times New Roman" w:hAnsi="Times New Roman"/>
          <w:i/>
        </w:rPr>
        <w:t xml:space="preserve">Наблюдаваните </w:t>
      </w:r>
      <w:r w:rsidRPr="00574985">
        <w:rPr>
          <w:rFonts w:ascii="Times New Roman" w:hAnsi="Times New Roman"/>
          <w:b/>
          <w:i/>
        </w:rPr>
        <w:t>различия между райони</w:t>
      </w:r>
      <w:r w:rsidR="000637B7">
        <w:rPr>
          <w:rFonts w:ascii="Times New Roman" w:hAnsi="Times New Roman"/>
          <w:b/>
          <w:i/>
        </w:rPr>
        <w:t>те от ниво 2</w:t>
      </w:r>
      <w:r w:rsidRPr="00574985">
        <w:rPr>
          <w:rFonts w:ascii="Times New Roman" w:hAnsi="Times New Roman"/>
          <w:i/>
        </w:rPr>
        <w:t xml:space="preserve"> в страната се задълбочават. Доминиращият Югозападен район увеличава допълнително тежестта си в създавания БВП и особено присъствието си в най-динамично развиващия се сектор на услугите. Продължаващото задълбочаване на регионалните различия – както между райони</w:t>
      </w:r>
      <w:r w:rsidR="000637B7">
        <w:rPr>
          <w:rFonts w:ascii="Times New Roman" w:hAnsi="Times New Roman"/>
          <w:i/>
        </w:rPr>
        <w:t>те от ниво 2</w:t>
      </w:r>
      <w:r w:rsidRPr="00574985">
        <w:rPr>
          <w:rFonts w:ascii="Times New Roman" w:hAnsi="Times New Roman"/>
          <w:i/>
        </w:rPr>
        <w:t>, така и на по-ниско териториално ниво, а също и по оста градски-селски райони – поставя въпроса за ефективността на регионалната политика, насочена към балансирано развитие на регионите</w:t>
      </w:r>
      <w:r w:rsidRPr="00E40FD1">
        <w:rPr>
          <w:rFonts w:ascii="Times New Roman" w:hAnsi="Times New Roman"/>
          <w:i/>
        </w:rPr>
        <w:t>.</w:t>
      </w:r>
    </w:p>
    <w:p w:rsidR="005C5485" w:rsidRDefault="005C5485" w:rsidP="005C5485">
      <w:pPr>
        <w:jc w:val="both"/>
        <w:rPr>
          <w:rFonts w:ascii="Times New Roman" w:hAnsi="Times New Roman"/>
        </w:rPr>
      </w:pPr>
      <w:r w:rsidRPr="00EB76EE">
        <w:rPr>
          <w:rFonts w:ascii="Times New Roman" w:hAnsi="Times New Roman"/>
          <w:i/>
        </w:rPr>
        <w:t xml:space="preserve">На базата на направения социално-икономически анализ са откроени следните </w:t>
      </w:r>
      <w:r w:rsidRPr="006C3ACC">
        <w:rPr>
          <w:rFonts w:ascii="Times New Roman" w:hAnsi="Times New Roman"/>
          <w:b/>
          <w:i/>
        </w:rPr>
        <w:t>приоритети</w:t>
      </w:r>
      <w:r>
        <w:rPr>
          <w:rFonts w:ascii="Times New Roman" w:hAnsi="Times New Roman"/>
          <w:i/>
        </w:rPr>
        <w:t xml:space="preserve"> </w:t>
      </w:r>
      <w:r w:rsidRPr="00EB76EE">
        <w:rPr>
          <w:rFonts w:ascii="Times New Roman" w:hAnsi="Times New Roman"/>
          <w:i/>
        </w:rPr>
        <w:t>за следващия програмен период:</w:t>
      </w:r>
      <w:r w:rsidRPr="00EB76EE">
        <w:t xml:space="preserve"> </w:t>
      </w:r>
      <w:r>
        <w:rPr>
          <w:rFonts w:ascii="Times New Roman" w:hAnsi="Times New Roman"/>
          <w:i/>
        </w:rPr>
        <w:t>наука и иновации за конкурентоспособност;</w:t>
      </w:r>
      <w:r w:rsidRPr="005C5485">
        <w:rPr>
          <w:rFonts w:ascii="Times New Roman" w:hAnsi="Times New Roman"/>
          <w:i/>
        </w:rPr>
        <w:t xml:space="preserve"> </w:t>
      </w:r>
      <w:r w:rsidRPr="00EB76EE">
        <w:rPr>
          <w:rFonts w:ascii="Times New Roman" w:hAnsi="Times New Roman"/>
          <w:i/>
        </w:rPr>
        <w:t>образование и обучение за високо квалифицирана работна сила</w:t>
      </w:r>
      <w:r>
        <w:rPr>
          <w:rFonts w:ascii="Times New Roman" w:hAnsi="Times New Roman"/>
          <w:i/>
        </w:rPr>
        <w:t xml:space="preserve">; подобряване на свързаността и цифровизация на </w:t>
      </w:r>
      <w:r w:rsidRPr="00EB76EE">
        <w:rPr>
          <w:rFonts w:ascii="Times New Roman" w:hAnsi="Times New Roman"/>
          <w:i/>
        </w:rPr>
        <w:t xml:space="preserve">икономиката и </w:t>
      </w:r>
      <w:r w:rsidR="00D20631">
        <w:rPr>
          <w:rFonts w:ascii="Times New Roman" w:hAnsi="Times New Roman"/>
          <w:i/>
        </w:rPr>
        <w:t>адекватно използв</w:t>
      </w:r>
      <w:r w:rsidRPr="00EB76EE">
        <w:rPr>
          <w:rFonts w:ascii="Times New Roman" w:hAnsi="Times New Roman"/>
          <w:i/>
        </w:rPr>
        <w:t xml:space="preserve">ане на местния потенциал. В допълнение, политиката на правителството през периода 2021-2027 г. ще включва и целенасочени действия по следните </w:t>
      </w:r>
      <w:r w:rsidRPr="006C3ACC">
        <w:rPr>
          <w:rFonts w:ascii="Times New Roman" w:hAnsi="Times New Roman"/>
          <w:b/>
          <w:i/>
        </w:rPr>
        <w:t>хоризонтални политики</w:t>
      </w:r>
      <w:r w:rsidRPr="00EB76EE">
        <w:rPr>
          <w:rFonts w:ascii="Times New Roman" w:hAnsi="Times New Roman"/>
          <w:i/>
        </w:rPr>
        <w:t>:</w:t>
      </w:r>
      <w:r>
        <w:rPr>
          <w:rFonts w:ascii="Times New Roman" w:hAnsi="Times New Roman"/>
          <w:i/>
        </w:rPr>
        <w:t xml:space="preserve"> действия, свързани с климата и п</w:t>
      </w:r>
      <w:r w:rsidRPr="00EB76EE">
        <w:rPr>
          <w:rFonts w:ascii="Times New Roman" w:hAnsi="Times New Roman"/>
          <w:i/>
        </w:rPr>
        <w:t>референциално третиране на проекти в изостанали райони.</w:t>
      </w:r>
    </w:p>
    <w:p w:rsidR="005C5485" w:rsidRDefault="005C5485" w:rsidP="00AE0F90">
      <w:pPr>
        <w:jc w:val="both"/>
        <w:rPr>
          <w:rFonts w:ascii="Times New Roman" w:hAnsi="Times New Roman"/>
        </w:rPr>
      </w:pPr>
    </w:p>
    <w:p w:rsidR="00AE0F90" w:rsidRPr="008A15B5" w:rsidRDefault="00AE0F90" w:rsidP="00AE0F90">
      <w:pPr>
        <w:rPr>
          <w:rFonts w:ascii="Times New Roman" w:hAnsi="Times New Roman"/>
          <w:b/>
          <w:caps/>
        </w:rPr>
      </w:pPr>
      <w:r>
        <w:rPr>
          <w:rFonts w:ascii="Times New Roman" w:hAnsi="Times New Roman"/>
        </w:rPr>
        <w:br w:type="page"/>
      </w:r>
    </w:p>
    <w:p w:rsidR="00AE0F90" w:rsidRPr="00F203B6" w:rsidRDefault="00AE0F90" w:rsidP="00AE0F90">
      <w:pPr>
        <w:pStyle w:val="TOCHeading"/>
        <w:rPr>
          <w:color w:val="1F497D"/>
          <w:lang w:val="bg-BG"/>
        </w:rPr>
      </w:pPr>
      <w:r w:rsidRPr="00F203B6">
        <w:rPr>
          <w:color w:val="1F497D"/>
          <w:lang w:val="bg-BG"/>
        </w:rPr>
        <w:lastRenderedPageBreak/>
        <w:t>Съдържание</w:t>
      </w:r>
    </w:p>
    <w:p w:rsidR="00AE0F90" w:rsidRPr="00F203B6" w:rsidRDefault="00AE0F90" w:rsidP="00AE0F90">
      <w:pPr>
        <w:rPr>
          <w:lang w:eastAsia="ja-JP"/>
        </w:rPr>
      </w:pPr>
    </w:p>
    <w:p w:rsidR="001A2C66" w:rsidRDefault="00AE0F90">
      <w:pPr>
        <w:pStyle w:val="TOC1"/>
        <w:tabs>
          <w:tab w:val="right" w:leader="dot" w:pos="9628"/>
        </w:tabs>
        <w:rPr>
          <w:rFonts w:asciiTheme="minorHAnsi" w:eastAsiaTheme="minorEastAsia" w:hAnsiTheme="minorHAnsi" w:cstheme="minorBidi"/>
          <w:noProof/>
          <w:lang w:eastAsia="bg-BG"/>
        </w:rPr>
      </w:pPr>
      <w:r>
        <w:fldChar w:fldCharType="begin"/>
      </w:r>
      <w:r>
        <w:instrText xml:space="preserve"> TOC \o "1-3" \h \z \u </w:instrText>
      </w:r>
      <w:r>
        <w:fldChar w:fldCharType="separate"/>
      </w:r>
      <w:hyperlink w:anchor="_Toc791796" w:history="1">
        <w:r w:rsidR="001A2C66" w:rsidRPr="00655F11">
          <w:rPr>
            <w:rStyle w:val="Hyperlink"/>
            <w:noProof/>
          </w:rPr>
          <w:t>Резюме</w:t>
        </w:r>
        <w:r w:rsidR="001A2C66">
          <w:rPr>
            <w:noProof/>
            <w:webHidden/>
          </w:rPr>
          <w:tab/>
        </w:r>
        <w:r w:rsidR="001A2C66">
          <w:rPr>
            <w:noProof/>
            <w:webHidden/>
          </w:rPr>
          <w:fldChar w:fldCharType="begin"/>
        </w:r>
        <w:r w:rsidR="001A2C66">
          <w:rPr>
            <w:noProof/>
            <w:webHidden/>
          </w:rPr>
          <w:instrText xml:space="preserve"> PAGEREF _Toc791796 \h </w:instrText>
        </w:r>
        <w:r w:rsidR="001A2C66">
          <w:rPr>
            <w:noProof/>
            <w:webHidden/>
          </w:rPr>
        </w:r>
        <w:r w:rsidR="001A2C66">
          <w:rPr>
            <w:noProof/>
            <w:webHidden/>
          </w:rPr>
          <w:fldChar w:fldCharType="separate"/>
        </w:r>
        <w:r w:rsidR="001A2C66">
          <w:rPr>
            <w:noProof/>
            <w:webHidden/>
          </w:rPr>
          <w:t>2</w:t>
        </w:r>
        <w:r w:rsidR="001A2C66">
          <w:rPr>
            <w:noProof/>
            <w:webHidden/>
          </w:rPr>
          <w:fldChar w:fldCharType="end"/>
        </w:r>
      </w:hyperlink>
    </w:p>
    <w:p w:rsidR="001A2C66" w:rsidRDefault="000671A4">
      <w:pPr>
        <w:pStyle w:val="TOC1"/>
        <w:tabs>
          <w:tab w:val="left" w:pos="440"/>
          <w:tab w:val="right" w:leader="dot" w:pos="9628"/>
        </w:tabs>
        <w:rPr>
          <w:rFonts w:asciiTheme="minorHAnsi" w:eastAsiaTheme="minorEastAsia" w:hAnsiTheme="minorHAnsi" w:cstheme="minorBidi"/>
          <w:noProof/>
          <w:lang w:eastAsia="bg-BG"/>
        </w:rPr>
      </w:pPr>
      <w:hyperlink w:anchor="_Toc791797" w:history="1">
        <w:r w:rsidR="001A2C66" w:rsidRPr="00655F11">
          <w:rPr>
            <w:rStyle w:val="Hyperlink"/>
            <w:noProof/>
          </w:rPr>
          <w:t>1.</w:t>
        </w:r>
        <w:r w:rsidR="001A2C66">
          <w:rPr>
            <w:rFonts w:asciiTheme="minorHAnsi" w:eastAsiaTheme="minorEastAsia" w:hAnsiTheme="minorHAnsi" w:cstheme="minorBidi"/>
            <w:noProof/>
            <w:lang w:eastAsia="bg-BG"/>
          </w:rPr>
          <w:tab/>
        </w:r>
        <w:r w:rsidR="001A2C66" w:rsidRPr="00655F11">
          <w:rPr>
            <w:rStyle w:val="Hyperlink"/>
            <w:noProof/>
          </w:rPr>
          <w:t>Външна среда и глобални предизвикателства</w:t>
        </w:r>
        <w:r w:rsidR="001A2C66">
          <w:rPr>
            <w:noProof/>
            <w:webHidden/>
          </w:rPr>
          <w:tab/>
        </w:r>
        <w:r w:rsidR="001A2C66">
          <w:rPr>
            <w:noProof/>
            <w:webHidden/>
          </w:rPr>
          <w:fldChar w:fldCharType="begin"/>
        </w:r>
        <w:r w:rsidR="001A2C66">
          <w:rPr>
            <w:noProof/>
            <w:webHidden/>
          </w:rPr>
          <w:instrText xml:space="preserve"> PAGEREF _Toc791797 \h </w:instrText>
        </w:r>
        <w:r w:rsidR="001A2C66">
          <w:rPr>
            <w:noProof/>
            <w:webHidden/>
          </w:rPr>
        </w:r>
        <w:r w:rsidR="001A2C66">
          <w:rPr>
            <w:noProof/>
            <w:webHidden/>
          </w:rPr>
          <w:fldChar w:fldCharType="separate"/>
        </w:r>
        <w:r w:rsidR="001A2C66">
          <w:rPr>
            <w:noProof/>
            <w:webHidden/>
          </w:rPr>
          <w:t>10</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798" w:history="1">
        <w:r w:rsidR="001A2C66" w:rsidRPr="00655F11">
          <w:rPr>
            <w:rStyle w:val="Hyperlink"/>
            <w:noProof/>
          </w:rPr>
          <w:t>1.1.</w:t>
        </w:r>
        <w:r w:rsidR="001A2C66">
          <w:rPr>
            <w:rFonts w:asciiTheme="minorHAnsi" w:eastAsiaTheme="minorEastAsia" w:hAnsiTheme="minorHAnsi" w:cstheme="minorBidi"/>
            <w:noProof/>
            <w:lang w:eastAsia="bg-BG"/>
          </w:rPr>
          <w:tab/>
        </w:r>
        <w:r w:rsidR="001A2C66" w:rsidRPr="00655F11">
          <w:rPr>
            <w:rStyle w:val="Hyperlink"/>
            <w:noProof/>
          </w:rPr>
          <w:t>Дигитална революция</w:t>
        </w:r>
        <w:r w:rsidR="001A2C66">
          <w:rPr>
            <w:noProof/>
            <w:webHidden/>
          </w:rPr>
          <w:tab/>
        </w:r>
        <w:r w:rsidR="001A2C66">
          <w:rPr>
            <w:noProof/>
            <w:webHidden/>
          </w:rPr>
          <w:fldChar w:fldCharType="begin"/>
        </w:r>
        <w:r w:rsidR="001A2C66">
          <w:rPr>
            <w:noProof/>
            <w:webHidden/>
          </w:rPr>
          <w:instrText xml:space="preserve"> PAGEREF _Toc791798 \h </w:instrText>
        </w:r>
        <w:r w:rsidR="001A2C66">
          <w:rPr>
            <w:noProof/>
            <w:webHidden/>
          </w:rPr>
        </w:r>
        <w:r w:rsidR="001A2C66">
          <w:rPr>
            <w:noProof/>
            <w:webHidden/>
          </w:rPr>
          <w:fldChar w:fldCharType="separate"/>
        </w:r>
        <w:r w:rsidR="001A2C66">
          <w:rPr>
            <w:noProof/>
            <w:webHidden/>
          </w:rPr>
          <w:t>10</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799" w:history="1">
        <w:r w:rsidR="001A2C66" w:rsidRPr="00655F11">
          <w:rPr>
            <w:rStyle w:val="Hyperlink"/>
            <w:noProof/>
          </w:rPr>
          <w:t>1.2.</w:t>
        </w:r>
        <w:r w:rsidR="001A2C66">
          <w:rPr>
            <w:rFonts w:asciiTheme="minorHAnsi" w:eastAsiaTheme="minorEastAsia" w:hAnsiTheme="minorHAnsi" w:cstheme="minorBidi"/>
            <w:noProof/>
            <w:lang w:eastAsia="bg-BG"/>
          </w:rPr>
          <w:tab/>
        </w:r>
        <w:r w:rsidR="001A2C66" w:rsidRPr="00655F11">
          <w:rPr>
            <w:rStyle w:val="Hyperlink"/>
            <w:noProof/>
          </w:rPr>
          <w:t>Изменение на климата</w:t>
        </w:r>
        <w:r w:rsidR="001A2C66">
          <w:rPr>
            <w:noProof/>
            <w:webHidden/>
          </w:rPr>
          <w:tab/>
        </w:r>
        <w:r w:rsidR="001A2C66">
          <w:rPr>
            <w:noProof/>
            <w:webHidden/>
          </w:rPr>
          <w:fldChar w:fldCharType="begin"/>
        </w:r>
        <w:r w:rsidR="001A2C66">
          <w:rPr>
            <w:noProof/>
            <w:webHidden/>
          </w:rPr>
          <w:instrText xml:space="preserve"> PAGEREF _Toc791799 \h </w:instrText>
        </w:r>
        <w:r w:rsidR="001A2C66">
          <w:rPr>
            <w:noProof/>
            <w:webHidden/>
          </w:rPr>
        </w:r>
        <w:r w:rsidR="001A2C66">
          <w:rPr>
            <w:noProof/>
            <w:webHidden/>
          </w:rPr>
          <w:fldChar w:fldCharType="separate"/>
        </w:r>
        <w:r w:rsidR="001A2C66">
          <w:rPr>
            <w:noProof/>
            <w:webHidden/>
          </w:rPr>
          <w:t>11</w:t>
        </w:r>
        <w:r w:rsidR="001A2C66">
          <w:rPr>
            <w:noProof/>
            <w:webHidden/>
          </w:rPr>
          <w:fldChar w:fldCharType="end"/>
        </w:r>
      </w:hyperlink>
    </w:p>
    <w:p w:rsidR="001A2C66" w:rsidRDefault="000671A4" w:rsidP="00E14E15">
      <w:pPr>
        <w:pStyle w:val="TOC2"/>
        <w:tabs>
          <w:tab w:val="left" w:pos="880"/>
          <w:tab w:val="right" w:leader="dot" w:pos="9628"/>
        </w:tabs>
        <w:rPr>
          <w:rFonts w:asciiTheme="minorHAnsi" w:eastAsiaTheme="minorEastAsia" w:hAnsiTheme="minorHAnsi" w:cstheme="minorBidi"/>
          <w:noProof/>
          <w:lang w:eastAsia="bg-BG"/>
        </w:rPr>
      </w:pPr>
      <w:hyperlink w:anchor="_Toc791800" w:history="1">
        <w:r w:rsidR="001A2C66" w:rsidRPr="00655F11">
          <w:rPr>
            <w:rStyle w:val="Hyperlink"/>
            <w:noProof/>
          </w:rPr>
          <w:t>1.3.</w:t>
        </w:r>
        <w:r w:rsidR="001A2C66">
          <w:rPr>
            <w:rFonts w:asciiTheme="minorHAnsi" w:eastAsiaTheme="minorEastAsia" w:hAnsiTheme="minorHAnsi" w:cstheme="minorBidi"/>
            <w:noProof/>
            <w:lang w:eastAsia="bg-BG"/>
          </w:rPr>
          <w:tab/>
        </w:r>
        <w:r w:rsidR="001A2C66" w:rsidRPr="00655F11">
          <w:rPr>
            <w:rStyle w:val="Hyperlink"/>
            <w:noProof/>
          </w:rPr>
          <w:t>Сигурност и миграция</w:t>
        </w:r>
        <w:r w:rsidR="001A2C66">
          <w:rPr>
            <w:noProof/>
            <w:webHidden/>
          </w:rPr>
          <w:tab/>
        </w:r>
        <w:r w:rsidR="001A2C66">
          <w:rPr>
            <w:noProof/>
            <w:webHidden/>
          </w:rPr>
          <w:fldChar w:fldCharType="begin"/>
        </w:r>
        <w:r w:rsidR="001A2C66">
          <w:rPr>
            <w:noProof/>
            <w:webHidden/>
          </w:rPr>
          <w:instrText xml:space="preserve"> PAGEREF _Toc791800 \h </w:instrText>
        </w:r>
        <w:r w:rsidR="001A2C66">
          <w:rPr>
            <w:noProof/>
            <w:webHidden/>
          </w:rPr>
        </w:r>
        <w:r w:rsidR="001A2C66">
          <w:rPr>
            <w:noProof/>
            <w:webHidden/>
          </w:rPr>
          <w:fldChar w:fldCharType="separate"/>
        </w:r>
        <w:r w:rsidR="001A2C66">
          <w:rPr>
            <w:noProof/>
            <w:webHidden/>
          </w:rPr>
          <w:t>11</w:t>
        </w:r>
        <w:r w:rsidR="001A2C66">
          <w:rPr>
            <w:noProof/>
            <w:webHidden/>
          </w:rPr>
          <w:fldChar w:fldCharType="end"/>
        </w:r>
      </w:hyperlink>
    </w:p>
    <w:p w:rsidR="001A2C66" w:rsidRDefault="000671A4">
      <w:pPr>
        <w:pStyle w:val="TOC1"/>
        <w:tabs>
          <w:tab w:val="left" w:pos="440"/>
          <w:tab w:val="right" w:leader="dot" w:pos="9628"/>
        </w:tabs>
        <w:rPr>
          <w:rFonts w:asciiTheme="minorHAnsi" w:eastAsiaTheme="minorEastAsia" w:hAnsiTheme="minorHAnsi" w:cstheme="minorBidi"/>
          <w:noProof/>
          <w:lang w:eastAsia="bg-BG"/>
        </w:rPr>
      </w:pPr>
      <w:hyperlink w:anchor="_Toc791802" w:history="1">
        <w:r w:rsidR="001A2C66" w:rsidRPr="00655F11">
          <w:rPr>
            <w:rStyle w:val="Hyperlink"/>
            <w:noProof/>
          </w:rPr>
          <w:t>2.</w:t>
        </w:r>
        <w:r w:rsidR="001A2C66">
          <w:rPr>
            <w:rFonts w:asciiTheme="minorHAnsi" w:eastAsiaTheme="minorEastAsia" w:hAnsiTheme="minorHAnsi" w:cstheme="minorBidi"/>
            <w:noProof/>
            <w:lang w:eastAsia="bg-BG"/>
          </w:rPr>
          <w:tab/>
        </w:r>
        <w:r w:rsidR="001A2C66" w:rsidRPr="00655F11">
          <w:rPr>
            <w:rStyle w:val="Hyperlink"/>
            <w:noProof/>
          </w:rPr>
          <w:t>Основни проблеми в социално-икономическото развитие и идентифициран потенциал</w:t>
        </w:r>
        <w:r w:rsidR="001A2C66">
          <w:rPr>
            <w:noProof/>
            <w:webHidden/>
          </w:rPr>
          <w:tab/>
        </w:r>
        <w:r w:rsidR="001A2C66">
          <w:rPr>
            <w:noProof/>
            <w:webHidden/>
          </w:rPr>
          <w:fldChar w:fldCharType="begin"/>
        </w:r>
        <w:r w:rsidR="001A2C66">
          <w:rPr>
            <w:noProof/>
            <w:webHidden/>
          </w:rPr>
          <w:instrText xml:space="preserve"> PAGEREF _Toc791802 \h </w:instrText>
        </w:r>
        <w:r w:rsidR="001A2C66">
          <w:rPr>
            <w:noProof/>
            <w:webHidden/>
          </w:rPr>
        </w:r>
        <w:r w:rsidR="001A2C66">
          <w:rPr>
            <w:noProof/>
            <w:webHidden/>
          </w:rPr>
          <w:fldChar w:fldCharType="separate"/>
        </w:r>
        <w:r w:rsidR="001A2C66">
          <w:rPr>
            <w:noProof/>
            <w:webHidden/>
          </w:rPr>
          <w:t>13</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03" w:history="1">
        <w:r w:rsidR="001A2C66" w:rsidRPr="00655F11">
          <w:rPr>
            <w:rStyle w:val="Hyperlink"/>
            <w:noProof/>
          </w:rPr>
          <w:t>2.1.</w:t>
        </w:r>
        <w:r w:rsidR="001A2C66">
          <w:rPr>
            <w:rFonts w:asciiTheme="minorHAnsi" w:eastAsiaTheme="minorEastAsia" w:hAnsiTheme="minorHAnsi" w:cstheme="minorBidi"/>
            <w:noProof/>
            <w:lang w:eastAsia="bg-BG"/>
          </w:rPr>
          <w:tab/>
        </w:r>
        <w:r w:rsidR="001A2C66" w:rsidRPr="00655F11">
          <w:rPr>
            <w:rStyle w:val="Hyperlink"/>
            <w:noProof/>
          </w:rPr>
          <w:t>Макроикономическа среда</w:t>
        </w:r>
        <w:r w:rsidR="001A2C66">
          <w:rPr>
            <w:noProof/>
            <w:webHidden/>
          </w:rPr>
          <w:tab/>
        </w:r>
        <w:r w:rsidR="001A2C66">
          <w:rPr>
            <w:noProof/>
            <w:webHidden/>
          </w:rPr>
          <w:fldChar w:fldCharType="begin"/>
        </w:r>
        <w:r w:rsidR="001A2C66">
          <w:rPr>
            <w:noProof/>
            <w:webHidden/>
          </w:rPr>
          <w:instrText xml:space="preserve"> PAGEREF _Toc791803 \h </w:instrText>
        </w:r>
        <w:r w:rsidR="001A2C66">
          <w:rPr>
            <w:noProof/>
            <w:webHidden/>
          </w:rPr>
        </w:r>
        <w:r w:rsidR="001A2C66">
          <w:rPr>
            <w:noProof/>
            <w:webHidden/>
          </w:rPr>
          <w:fldChar w:fldCharType="separate"/>
        </w:r>
        <w:r w:rsidR="001A2C66">
          <w:rPr>
            <w:noProof/>
            <w:webHidden/>
          </w:rPr>
          <w:t>13</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04" w:history="1">
        <w:r w:rsidR="001A2C66" w:rsidRPr="00655F11">
          <w:rPr>
            <w:rStyle w:val="Hyperlink"/>
            <w:noProof/>
          </w:rPr>
          <w:t>2.2.</w:t>
        </w:r>
        <w:r w:rsidR="001A2C66">
          <w:rPr>
            <w:rFonts w:asciiTheme="minorHAnsi" w:eastAsiaTheme="minorEastAsia" w:hAnsiTheme="minorHAnsi" w:cstheme="minorBidi"/>
            <w:noProof/>
            <w:lang w:eastAsia="bg-BG"/>
          </w:rPr>
          <w:tab/>
        </w:r>
        <w:r w:rsidR="001A2C66" w:rsidRPr="00655F11">
          <w:rPr>
            <w:rStyle w:val="Hyperlink"/>
            <w:noProof/>
          </w:rPr>
          <w:t>Човешки капитал</w:t>
        </w:r>
        <w:r w:rsidR="001A2C66">
          <w:rPr>
            <w:noProof/>
            <w:webHidden/>
          </w:rPr>
          <w:tab/>
        </w:r>
        <w:r w:rsidR="001A2C66">
          <w:rPr>
            <w:noProof/>
            <w:webHidden/>
          </w:rPr>
          <w:fldChar w:fldCharType="begin"/>
        </w:r>
        <w:r w:rsidR="001A2C66">
          <w:rPr>
            <w:noProof/>
            <w:webHidden/>
          </w:rPr>
          <w:instrText xml:space="preserve"> PAGEREF _Toc791804 \h </w:instrText>
        </w:r>
        <w:r w:rsidR="001A2C66">
          <w:rPr>
            <w:noProof/>
            <w:webHidden/>
          </w:rPr>
        </w:r>
        <w:r w:rsidR="001A2C66">
          <w:rPr>
            <w:noProof/>
            <w:webHidden/>
          </w:rPr>
          <w:fldChar w:fldCharType="separate"/>
        </w:r>
        <w:r w:rsidR="001A2C66">
          <w:rPr>
            <w:noProof/>
            <w:webHidden/>
          </w:rPr>
          <w:t>16</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05" w:history="1">
        <w:r w:rsidR="001A2C66" w:rsidRPr="00655F11">
          <w:rPr>
            <w:rStyle w:val="Hyperlink"/>
            <w:noProof/>
          </w:rPr>
          <w:t>2.2.1.</w:t>
        </w:r>
        <w:r w:rsidR="001A2C66">
          <w:rPr>
            <w:rFonts w:asciiTheme="minorHAnsi" w:eastAsiaTheme="minorEastAsia" w:hAnsiTheme="minorHAnsi" w:cstheme="minorBidi"/>
            <w:noProof/>
            <w:lang w:eastAsia="bg-BG"/>
          </w:rPr>
          <w:tab/>
        </w:r>
        <w:r w:rsidR="001A2C66" w:rsidRPr="00655F11">
          <w:rPr>
            <w:rStyle w:val="Hyperlink"/>
            <w:noProof/>
          </w:rPr>
          <w:t>Демографска картина и перспективи</w:t>
        </w:r>
        <w:r w:rsidR="001A2C66">
          <w:rPr>
            <w:noProof/>
            <w:webHidden/>
          </w:rPr>
          <w:tab/>
        </w:r>
        <w:r w:rsidR="001A2C66">
          <w:rPr>
            <w:noProof/>
            <w:webHidden/>
          </w:rPr>
          <w:fldChar w:fldCharType="begin"/>
        </w:r>
        <w:r w:rsidR="001A2C66">
          <w:rPr>
            <w:noProof/>
            <w:webHidden/>
          </w:rPr>
          <w:instrText xml:space="preserve"> PAGEREF _Toc791805 \h </w:instrText>
        </w:r>
        <w:r w:rsidR="001A2C66">
          <w:rPr>
            <w:noProof/>
            <w:webHidden/>
          </w:rPr>
        </w:r>
        <w:r w:rsidR="001A2C66">
          <w:rPr>
            <w:noProof/>
            <w:webHidden/>
          </w:rPr>
          <w:fldChar w:fldCharType="separate"/>
        </w:r>
        <w:r w:rsidR="001A2C66">
          <w:rPr>
            <w:noProof/>
            <w:webHidden/>
          </w:rPr>
          <w:t>16</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06" w:history="1">
        <w:r w:rsidR="001A2C66" w:rsidRPr="00655F11">
          <w:rPr>
            <w:rStyle w:val="Hyperlink"/>
            <w:noProof/>
          </w:rPr>
          <w:t>2.2.2.</w:t>
        </w:r>
        <w:r w:rsidR="001A2C66">
          <w:rPr>
            <w:rFonts w:asciiTheme="minorHAnsi" w:eastAsiaTheme="minorEastAsia" w:hAnsiTheme="minorHAnsi" w:cstheme="minorBidi"/>
            <w:noProof/>
            <w:lang w:eastAsia="bg-BG"/>
          </w:rPr>
          <w:tab/>
        </w:r>
        <w:r w:rsidR="001A2C66" w:rsidRPr="00655F11">
          <w:rPr>
            <w:rStyle w:val="Hyperlink"/>
            <w:noProof/>
          </w:rPr>
          <w:t>Образование</w:t>
        </w:r>
        <w:r w:rsidR="001A2C66">
          <w:rPr>
            <w:noProof/>
            <w:webHidden/>
          </w:rPr>
          <w:tab/>
        </w:r>
        <w:r w:rsidR="001A2C66">
          <w:rPr>
            <w:noProof/>
            <w:webHidden/>
          </w:rPr>
          <w:fldChar w:fldCharType="begin"/>
        </w:r>
        <w:r w:rsidR="001A2C66">
          <w:rPr>
            <w:noProof/>
            <w:webHidden/>
          </w:rPr>
          <w:instrText xml:space="preserve"> PAGEREF _Toc791806 \h </w:instrText>
        </w:r>
        <w:r w:rsidR="001A2C66">
          <w:rPr>
            <w:noProof/>
            <w:webHidden/>
          </w:rPr>
        </w:r>
        <w:r w:rsidR="001A2C66">
          <w:rPr>
            <w:noProof/>
            <w:webHidden/>
          </w:rPr>
          <w:fldChar w:fldCharType="separate"/>
        </w:r>
        <w:r w:rsidR="001A2C66">
          <w:rPr>
            <w:noProof/>
            <w:webHidden/>
          </w:rPr>
          <w:t>18</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07" w:history="1">
        <w:r w:rsidR="001A2C66" w:rsidRPr="00655F11">
          <w:rPr>
            <w:rStyle w:val="Hyperlink"/>
            <w:noProof/>
          </w:rPr>
          <w:t>2.2.3.</w:t>
        </w:r>
        <w:r w:rsidR="001A2C66">
          <w:rPr>
            <w:rFonts w:asciiTheme="minorHAnsi" w:eastAsiaTheme="minorEastAsia" w:hAnsiTheme="minorHAnsi" w:cstheme="minorBidi"/>
            <w:noProof/>
            <w:lang w:eastAsia="bg-BG"/>
          </w:rPr>
          <w:tab/>
        </w:r>
        <w:r w:rsidR="001A2C66" w:rsidRPr="00655F11">
          <w:rPr>
            <w:rStyle w:val="Hyperlink"/>
            <w:noProof/>
          </w:rPr>
          <w:t>Здравен статус и здравеопазване</w:t>
        </w:r>
        <w:r w:rsidR="001A2C66">
          <w:rPr>
            <w:noProof/>
            <w:webHidden/>
          </w:rPr>
          <w:tab/>
        </w:r>
        <w:r w:rsidR="001A2C66">
          <w:rPr>
            <w:noProof/>
            <w:webHidden/>
          </w:rPr>
          <w:fldChar w:fldCharType="begin"/>
        </w:r>
        <w:r w:rsidR="001A2C66">
          <w:rPr>
            <w:noProof/>
            <w:webHidden/>
          </w:rPr>
          <w:instrText xml:space="preserve"> PAGEREF _Toc791807 \h </w:instrText>
        </w:r>
        <w:r w:rsidR="001A2C66">
          <w:rPr>
            <w:noProof/>
            <w:webHidden/>
          </w:rPr>
        </w:r>
        <w:r w:rsidR="001A2C66">
          <w:rPr>
            <w:noProof/>
            <w:webHidden/>
          </w:rPr>
          <w:fldChar w:fldCharType="separate"/>
        </w:r>
        <w:r w:rsidR="001A2C66">
          <w:rPr>
            <w:noProof/>
            <w:webHidden/>
          </w:rPr>
          <w:t>24</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08" w:history="1">
        <w:r w:rsidR="001A2C66" w:rsidRPr="00655F11">
          <w:rPr>
            <w:rStyle w:val="Hyperlink"/>
            <w:noProof/>
          </w:rPr>
          <w:t>2.2.4.</w:t>
        </w:r>
        <w:r w:rsidR="001A2C66">
          <w:rPr>
            <w:rFonts w:asciiTheme="minorHAnsi" w:eastAsiaTheme="minorEastAsia" w:hAnsiTheme="minorHAnsi" w:cstheme="minorBidi"/>
            <w:noProof/>
            <w:lang w:eastAsia="bg-BG"/>
          </w:rPr>
          <w:tab/>
        </w:r>
        <w:r w:rsidR="001A2C66" w:rsidRPr="00655F11">
          <w:rPr>
            <w:rStyle w:val="Hyperlink"/>
            <w:noProof/>
          </w:rPr>
          <w:t>Заетост и пазар на труда</w:t>
        </w:r>
        <w:r w:rsidR="001A2C66">
          <w:rPr>
            <w:noProof/>
            <w:webHidden/>
          </w:rPr>
          <w:tab/>
        </w:r>
        <w:r w:rsidR="001A2C66">
          <w:rPr>
            <w:noProof/>
            <w:webHidden/>
          </w:rPr>
          <w:fldChar w:fldCharType="begin"/>
        </w:r>
        <w:r w:rsidR="001A2C66">
          <w:rPr>
            <w:noProof/>
            <w:webHidden/>
          </w:rPr>
          <w:instrText xml:space="preserve"> PAGEREF _Toc791808 \h </w:instrText>
        </w:r>
        <w:r w:rsidR="001A2C66">
          <w:rPr>
            <w:noProof/>
            <w:webHidden/>
          </w:rPr>
        </w:r>
        <w:r w:rsidR="001A2C66">
          <w:rPr>
            <w:noProof/>
            <w:webHidden/>
          </w:rPr>
          <w:fldChar w:fldCharType="separate"/>
        </w:r>
        <w:r w:rsidR="001A2C66">
          <w:rPr>
            <w:noProof/>
            <w:webHidden/>
          </w:rPr>
          <w:t>26</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09" w:history="1">
        <w:r w:rsidR="001A2C66" w:rsidRPr="00655F11">
          <w:rPr>
            <w:rStyle w:val="Hyperlink"/>
            <w:noProof/>
          </w:rPr>
          <w:t>2.2.5.</w:t>
        </w:r>
        <w:r w:rsidR="001A2C66">
          <w:rPr>
            <w:rFonts w:asciiTheme="minorHAnsi" w:eastAsiaTheme="minorEastAsia" w:hAnsiTheme="minorHAnsi" w:cstheme="minorBidi"/>
            <w:noProof/>
            <w:lang w:eastAsia="bg-BG"/>
          </w:rPr>
          <w:tab/>
        </w:r>
        <w:r w:rsidR="001A2C66" w:rsidRPr="00655F11">
          <w:rPr>
            <w:rStyle w:val="Hyperlink"/>
            <w:noProof/>
          </w:rPr>
          <w:t>Бедност и социално изключване</w:t>
        </w:r>
        <w:r w:rsidR="001A2C66">
          <w:rPr>
            <w:noProof/>
            <w:webHidden/>
          </w:rPr>
          <w:tab/>
        </w:r>
        <w:r w:rsidR="001A2C66">
          <w:rPr>
            <w:noProof/>
            <w:webHidden/>
          </w:rPr>
          <w:fldChar w:fldCharType="begin"/>
        </w:r>
        <w:r w:rsidR="001A2C66">
          <w:rPr>
            <w:noProof/>
            <w:webHidden/>
          </w:rPr>
          <w:instrText xml:space="preserve"> PAGEREF _Toc791809 \h </w:instrText>
        </w:r>
        <w:r w:rsidR="001A2C66">
          <w:rPr>
            <w:noProof/>
            <w:webHidden/>
          </w:rPr>
        </w:r>
        <w:r w:rsidR="001A2C66">
          <w:rPr>
            <w:noProof/>
            <w:webHidden/>
          </w:rPr>
          <w:fldChar w:fldCharType="separate"/>
        </w:r>
        <w:r w:rsidR="001A2C66">
          <w:rPr>
            <w:noProof/>
            <w:webHidden/>
          </w:rPr>
          <w:t>30</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10" w:history="1">
        <w:r w:rsidR="001A2C66" w:rsidRPr="00655F11">
          <w:rPr>
            <w:rStyle w:val="Hyperlink"/>
            <w:noProof/>
          </w:rPr>
          <w:t>2.3.</w:t>
        </w:r>
        <w:r w:rsidR="001A2C66">
          <w:rPr>
            <w:rFonts w:asciiTheme="minorHAnsi" w:eastAsiaTheme="minorEastAsia" w:hAnsiTheme="minorHAnsi" w:cstheme="minorBidi"/>
            <w:noProof/>
            <w:lang w:eastAsia="bg-BG"/>
          </w:rPr>
          <w:tab/>
        </w:r>
        <w:r w:rsidR="001A2C66" w:rsidRPr="00655F11">
          <w:rPr>
            <w:rStyle w:val="Hyperlink"/>
            <w:noProof/>
          </w:rPr>
          <w:t>Икономика на знанието</w:t>
        </w:r>
        <w:r w:rsidR="001A2C66">
          <w:rPr>
            <w:noProof/>
            <w:webHidden/>
          </w:rPr>
          <w:tab/>
        </w:r>
        <w:r w:rsidR="001A2C66">
          <w:rPr>
            <w:noProof/>
            <w:webHidden/>
          </w:rPr>
          <w:fldChar w:fldCharType="begin"/>
        </w:r>
        <w:r w:rsidR="001A2C66">
          <w:rPr>
            <w:noProof/>
            <w:webHidden/>
          </w:rPr>
          <w:instrText xml:space="preserve"> PAGEREF _Toc791810 \h </w:instrText>
        </w:r>
        <w:r w:rsidR="001A2C66">
          <w:rPr>
            <w:noProof/>
            <w:webHidden/>
          </w:rPr>
        </w:r>
        <w:r w:rsidR="001A2C66">
          <w:rPr>
            <w:noProof/>
            <w:webHidden/>
          </w:rPr>
          <w:fldChar w:fldCharType="separate"/>
        </w:r>
        <w:r w:rsidR="001A2C66">
          <w:rPr>
            <w:noProof/>
            <w:webHidden/>
          </w:rPr>
          <w:t>32</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11" w:history="1">
        <w:r w:rsidR="001A2C66" w:rsidRPr="00655F11">
          <w:rPr>
            <w:rStyle w:val="Hyperlink"/>
            <w:noProof/>
          </w:rPr>
          <w:t>2.3.1.</w:t>
        </w:r>
        <w:r w:rsidR="001A2C66">
          <w:rPr>
            <w:rFonts w:asciiTheme="minorHAnsi" w:eastAsiaTheme="minorEastAsia" w:hAnsiTheme="minorHAnsi" w:cstheme="minorBidi"/>
            <w:noProof/>
            <w:lang w:eastAsia="bg-BG"/>
          </w:rPr>
          <w:tab/>
        </w:r>
        <w:r w:rsidR="001A2C66" w:rsidRPr="00655F11">
          <w:rPr>
            <w:rStyle w:val="Hyperlink"/>
            <w:noProof/>
          </w:rPr>
          <w:t>НИРД и иновации</w:t>
        </w:r>
        <w:r w:rsidR="001A2C66">
          <w:rPr>
            <w:noProof/>
            <w:webHidden/>
          </w:rPr>
          <w:tab/>
        </w:r>
        <w:r w:rsidR="001A2C66">
          <w:rPr>
            <w:noProof/>
            <w:webHidden/>
          </w:rPr>
          <w:fldChar w:fldCharType="begin"/>
        </w:r>
        <w:r w:rsidR="001A2C66">
          <w:rPr>
            <w:noProof/>
            <w:webHidden/>
          </w:rPr>
          <w:instrText xml:space="preserve"> PAGEREF _Toc791811 \h </w:instrText>
        </w:r>
        <w:r w:rsidR="001A2C66">
          <w:rPr>
            <w:noProof/>
            <w:webHidden/>
          </w:rPr>
        </w:r>
        <w:r w:rsidR="001A2C66">
          <w:rPr>
            <w:noProof/>
            <w:webHidden/>
          </w:rPr>
          <w:fldChar w:fldCharType="separate"/>
        </w:r>
        <w:r w:rsidR="001A2C66">
          <w:rPr>
            <w:noProof/>
            <w:webHidden/>
          </w:rPr>
          <w:t>32</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12" w:history="1">
        <w:r w:rsidR="001A2C66" w:rsidRPr="00655F11">
          <w:rPr>
            <w:rStyle w:val="Hyperlink"/>
            <w:noProof/>
          </w:rPr>
          <w:t>2.3.2.</w:t>
        </w:r>
        <w:r w:rsidR="001A2C66">
          <w:rPr>
            <w:rFonts w:asciiTheme="minorHAnsi" w:eastAsiaTheme="minorEastAsia" w:hAnsiTheme="minorHAnsi" w:cstheme="minorBidi"/>
            <w:noProof/>
            <w:lang w:eastAsia="bg-BG"/>
          </w:rPr>
          <w:tab/>
        </w:r>
        <w:r w:rsidR="001A2C66" w:rsidRPr="00655F11">
          <w:rPr>
            <w:rStyle w:val="Hyperlink"/>
            <w:noProof/>
          </w:rPr>
          <w:t>Информационни и комуникационни технологии и цифрова икономика</w:t>
        </w:r>
        <w:r w:rsidR="001A2C66">
          <w:rPr>
            <w:noProof/>
            <w:webHidden/>
          </w:rPr>
          <w:tab/>
        </w:r>
        <w:r w:rsidR="001A2C66">
          <w:rPr>
            <w:noProof/>
            <w:webHidden/>
          </w:rPr>
          <w:fldChar w:fldCharType="begin"/>
        </w:r>
        <w:r w:rsidR="001A2C66">
          <w:rPr>
            <w:noProof/>
            <w:webHidden/>
          </w:rPr>
          <w:instrText xml:space="preserve"> PAGEREF _Toc791812 \h </w:instrText>
        </w:r>
        <w:r w:rsidR="001A2C66">
          <w:rPr>
            <w:noProof/>
            <w:webHidden/>
          </w:rPr>
        </w:r>
        <w:r w:rsidR="001A2C66">
          <w:rPr>
            <w:noProof/>
            <w:webHidden/>
          </w:rPr>
          <w:fldChar w:fldCharType="separate"/>
        </w:r>
        <w:r w:rsidR="001A2C66">
          <w:rPr>
            <w:noProof/>
            <w:webHidden/>
          </w:rPr>
          <w:t>37</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13" w:history="1">
        <w:r w:rsidR="001A2C66" w:rsidRPr="00655F11">
          <w:rPr>
            <w:rStyle w:val="Hyperlink"/>
            <w:noProof/>
          </w:rPr>
          <w:t>2.4.</w:t>
        </w:r>
        <w:r w:rsidR="001A2C66">
          <w:rPr>
            <w:rFonts w:asciiTheme="minorHAnsi" w:eastAsiaTheme="minorEastAsia" w:hAnsiTheme="minorHAnsi" w:cstheme="minorBidi"/>
            <w:noProof/>
            <w:lang w:eastAsia="bg-BG"/>
          </w:rPr>
          <w:tab/>
        </w:r>
        <w:r w:rsidR="001A2C66" w:rsidRPr="00655F11">
          <w:rPr>
            <w:rStyle w:val="Hyperlink"/>
            <w:noProof/>
          </w:rPr>
          <w:t>Бизнес среда и електронно управление</w:t>
        </w:r>
        <w:r w:rsidR="001A2C66">
          <w:rPr>
            <w:noProof/>
            <w:webHidden/>
          </w:rPr>
          <w:tab/>
        </w:r>
        <w:r w:rsidR="001A2C66">
          <w:rPr>
            <w:noProof/>
            <w:webHidden/>
          </w:rPr>
          <w:fldChar w:fldCharType="begin"/>
        </w:r>
        <w:r w:rsidR="001A2C66">
          <w:rPr>
            <w:noProof/>
            <w:webHidden/>
          </w:rPr>
          <w:instrText xml:space="preserve"> PAGEREF _Toc791813 \h </w:instrText>
        </w:r>
        <w:r w:rsidR="001A2C66">
          <w:rPr>
            <w:noProof/>
            <w:webHidden/>
          </w:rPr>
        </w:r>
        <w:r w:rsidR="001A2C66">
          <w:rPr>
            <w:noProof/>
            <w:webHidden/>
          </w:rPr>
          <w:fldChar w:fldCharType="separate"/>
        </w:r>
        <w:r w:rsidR="001A2C66">
          <w:rPr>
            <w:noProof/>
            <w:webHidden/>
          </w:rPr>
          <w:t>41</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14" w:history="1">
        <w:r w:rsidR="001A2C66" w:rsidRPr="00655F11">
          <w:rPr>
            <w:rStyle w:val="Hyperlink"/>
            <w:noProof/>
          </w:rPr>
          <w:t>2.5.</w:t>
        </w:r>
        <w:r w:rsidR="001A2C66">
          <w:rPr>
            <w:rFonts w:asciiTheme="minorHAnsi" w:eastAsiaTheme="minorEastAsia" w:hAnsiTheme="minorHAnsi" w:cstheme="minorBidi"/>
            <w:noProof/>
            <w:lang w:eastAsia="bg-BG"/>
          </w:rPr>
          <w:tab/>
        </w:r>
        <w:r w:rsidR="001A2C66" w:rsidRPr="00655F11">
          <w:rPr>
            <w:rStyle w:val="Hyperlink"/>
            <w:noProof/>
          </w:rPr>
          <w:t>Конкурентоспособност на икономическите сектори</w:t>
        </w:r>
        <w:r w:rsidR="001A2C66">
          <w:rPr>
            <w:noProof/>
            <w:webHidden/>
          </w:rPr>
          <w:tab/>
        </w:r>
        <w:r w:rsidR="001A2C66">
          <w:rPr>
            <w:noProof/>
            <w:webHidden/>
          </w:rPr>
          <w:fldChar w:fldCharType="begin"/>
        </w:r>
        <w:r w:rsidR="001A2C66">
          <w:rPr>
            <w:noProof/>
            <w:webHidden/>
          </w:rPr>
          <w:instrText xml:space="preserve"> PAGEREF _Toc791814 \h </w:instrText>
        </w:r>
        <w:r w:rsidR="001A2C66">
          <w:rPr>
            <w:noProof/>
            <w:webHidden/>
          </w:rPr>
        </w:r>
        <w:r w:rsidR="001A2C66">
          <w:rPr>
            <w:noProof/>
            <w:webHidden/>
          </w:rPr>
          <w:fldChar w:fldCharType="separate"/>
        </w:r>
        <w:r w:rsidR="001A2C66">
          <w:rPr>
            <w:noProof/>
            <w:webHidden/>
          </w:rPr>
          <w:t>45</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15" w:history="1">
        <w:r w:rsidR="001A2C66" w:rsidRPr="00655F11">
          <w:rPr>
            <w:rStyle w:val="Hyperlink"/>
            <w:noProof/>
          </w:rPr>
          <w:t>2.5.1.</w:t>
        </w:r>
        <w:r w:rsidR="001A2C66">
          <w:rPr>
            <w:rFonts w:asciiTheme="minorHAnsi" w:eastAsiaTheme="minorEastAsia" w:hAnsiTheme="minorHAnsi" w:cstheme="minorBidi"/>
            <w:noProof/>
            <w:lang w:eastAsia="bg-BG"/>
          </w:rPr>
          <w:tab/>
        </w:r>
        <w:r w:rsidR="001A2C66" w:rsidRPr="00655F11">
          <w:rPr>
            <w:rStyle w:val="Hyperlink"/>
            <w:noProof/>
          </w:rPr>
          <w:t>МСП</w:t>
        </w:r>
        <w:r w:rsidR="001A2C66">
          <w:rPr>
            <w:noProof/>
            <w:webHidden/>
          </w:rPr>
          <w:tab/>
        </w:r>
        <w:r w:rsidR="001A2C66">
          <w:rPr>
            <w:noProof/>
            <w:webHidden/>
          </w:rPr>
          <w:fldChar w:fldCharType="begin"/>
        </w:r>
        <w:r w:rsidR="001A2C66">
          <w:rPr>
            <w:noProof/>
            <w:webHidden/>
          </w:rPr>
          <w:instrText xml:space="preserve"> PAGEREF _Toc791815 \h </w:instrText>
        </w:r>
        <w:r w:rsidR="001A2C66">
          <w:rPr>
            <w:noProof/>
            <w:webHidden/>
          </w:rPr>
        </w:r>
        <w:r w:rsidR="001A2C66">
          <w:rPr>
            <w:noProof/>
            <w:webHidden/>
          </w:rPr>
          <w:fldChar w:fldCharType="separate"/>
        </w:r>
        <w:r w:rsidR="001A2C66">
          <w:rPr>
            <w:noProof/>
            <w:webHidden/>
          </w:rPr>
          <w:t>46</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16" w:history="1">
        <w:r w:rsidR="001A2C66" w:rsidRPr="00655F11">
          <w:rPr>
            <w:rStyle w:val="Hyperlink"/>
            <w:noProof/>
          </w:rPr>
          <w:t>2.5.2.</w:t>
        </w:r>
        <w:r w:rsidR="001A2C66">
          <w:rPr>
            <w:rFonts w:asciiTheme="minorHAnsi" w:eastAsiaTheme="minorEastAsia" w:hAnsiTheme="minorHAnsi" w:cstheme="minorBidi"/>
            <w:noProof/>
            <w:lang w:eastAsia="bg-BG"/>
          </w:rPr>
          <w:tab/>
        </w:r>
        <w:r w:rsidR="001A2C66" w:rsidRPr="00655F11">
          <w:rPr>
            <w:rStyle w:val="Hyperlink"/>
            <w:noProof/>
          </w:rPr>
          <w:t>Селско стопанство</w:t>
        </w:r>
        <w:r w:rsidR="001A2C66">
          <w:rPr>
            <w:noProof/>
            <w:webHidden/>
          </w:rPr>
          <w:tab/>
        </w:r>
        <w:r w:rsidR="001A2C66">
          <w:rPr>
            <w:noProof/>
            <w:webHidden/>
          </w:rPr>
          <w:fldChar w:fldCharType="begin"/>
        </w:r>
        <w:r w:rsidR="001A2C66">
          <w:rPr>
            <w:noProof/>
            <w:webHidden/>
          </w:rPr>
          <w:instrText xml:space="preserve"> PAGEREF _Toc791816 \h </w:instrText>
        </w:r>
        <w:r w:rsidR="001A2C66">
          <w:rPr>
            <w:noProof/>
            <w:webHidden/>
          </w:rPr>
        </w:r>
        <w:r w:rsidR="001A2C66">
          <w:rPr>
            <w:noProof/>
            <w:webHidden/>
          </w:rPr>
          <w:fldChar w:fldCharType="separate"/>
        </w:r>
        <w:r w:rsidR="001A2C66">
          <w:rPr>
            <w:noProof/>
            <w:webHidden/>
          </w:rPr>
          <w:t>48</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17" w:history="1">
        <w:r w:rsidR="001A2C66" w:rsidRPr="00655F11">
          <w:rPr>
            <w:rStyle w:val="Hyperlink"/>
            <w:noProof/>
          </w:rPr>
          <w:t>2.5.3.</w:t>
        </w:r>
        <w:r w:rsidR="001A2C66">
          <w:rPr>
            <w:rFonts w:asciiTheme="minorHAnsi" w:eastAsiaTheme="minorEastAsia" w:hAnsiTheme="minorHAnsi" w:cstheme="minorBidi"/>
            <w:noProof/>
            <w:lang w:eastAsia="bg-BG"/>
          </w:rPr>
          <w:tab/>
        </w:r>
        <w:r w:rsidR="001A2C66" w:rsidRPr="00655F11">
          <w:rPr>
            <w:rStyle w:val="Hyperlink"/>
            <w:noProof/>
          </w:rPr>
          <w:t>Туризъм</w:t>
        </w:r>
        <w:r w:rsidR="001A2C66">
          <w:rPr>
            <w:noProof/>
            <w:webHidden/>
          </w:rPr>
          <w:tab/>
        </w:r>
        <w:r w:rsidR="001A2C66">
          <w:rPr>
            <w:noProof/>
            <w:webHidden/>
          </w:rPr>
          <w:fldChar w:fldCharType="begin"/>
        </w:r>
        <w:r w:rsidR="001A2C66">
          <w:rPr>
            <w:noProof/>
            <w:webHidden/>
          </w:rPr>
          <w:instrText xml:space="preserve"> PAGEREF _Toc791817 \h </w:instrText>
        </w:r>
        <w:r w:rsidR="001A2C66">
          <w:rPr>
            <w:noProof/>
            <w:webHidden/>
          </w:rPr>
        </w:r>
        <w:r w:rsidR="001A2C66">
          <w:rPr>
            <w:noProof/>
            <w:webHidden/>
          </w:rPr>
          <w:fldChar w:fldCharType="separate"/>
        </w:r>
        <w:r w:rsidR="001A2C66">
          <w:rPr>
            <w:noProof/>
            <w:webHidden/>
          </w:rPr>
          <w:t>51</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18" w:history="1">
        <w:r w:rsidR="001A2C66" w:rsidRPr="00655F11">
          <w:rPr>
            <w:rStyle w:val="Hyperlink"/>
            <w:noProof/>
          </w:rPr>
          <w:t>2.5.4.</w:t>
        </w:r>
        <w:r w:rsidR="001A2C66">
          <w:rPr>
            <w:rFonts w:asciiTheme="minorHAnsi" w:eastAsiaTheme="minorEastAsia" w:hAnsiTheme="minorHAnsi" w:cstheme="minorBidi"/>
            <w:noProof/>
            <w:lang w:eastAsia="bg-BG"/>
          </w:rPr>
          <w:tab/>
        </w:r>
        <w:r w:rsidR="001A2C66" w:rsidRPr="00655F11">
          <w:rPr>
            <w:rStyle w:val="Hyperlink"/>
            <w:noProof/>
          </w:rPr>
          <w:t>Ресурсна и енергийна ефективност</w:t>
        </w:r>
        <w:r w:rsidR="001A2C66">
          <w:rPr>
            <w:noProof/>
            <w:webHidden/>
          </w:rPr>
          <w:tab/>
        </w:r>
        <w:r w:rsidR="001A2C66">
          <w:rPr>
            <w:noProof/>
            <w:webHidden/>
          </w:rPr>
          <w:fldChar w:fldCharType="begin"/>
        </w:r>
        <w:r w:rsidR="001A2C66">
          <w:rPr>
            <w:noProof/>
            <w:webHidden/>
          </w:rPr>
          <w:instrText xml:space="preserve"> PAGEREF _Toc791818 \h </w:instrText>
        </w:r>
        <w:r w:rsidR="001A2C66">
          <w:rPr>
            <w:noProof/>
            <w:webHidden/>
          </w:rPr>
        </w:r>
        <w:r w:rsidR="001A2C66">
          <w:rPr>
            <w:noProof/>
            <w:webHidden/>
          </w:rPr>
          <w:fldChar w:fldCharType="separate"/>
        </w:r>
        <w:r w:rsidR="001A2C66">
          <w:rPr>
            <w:noProof/>
            <w:webHidden/>
          </w:rPr>
          <w:t>52</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19" w:history="1">
        <w:r w:rsidR="001A2C66" w:rsidRPr="00655F11">
          <w:rPr>
            <w:rStyle w:val="Hyperlink"/>
            <w:noProof/>
          </w:rPr>
          <w:t>2.6.</w:t>
        </w:r>
        <w:r w:rsidR="001A2C66">
          <w:rPr>
            <w:rFonts w:asciiTheme="minorHAnsi" w:eastAsiaTheme="minorEastAsia" w:hAnsiTheme="minorHAnsi" w:cstheme="minorBidi"/>
            <w:noProof/>
            <w:lang w:eastAsia="bg-BG"/>
          </w:rPr>
          <w:tab/>
        </w:r>
        <w:r w:rsidR="001A2C66" w:rsidRPr="00655F11">
          <w:rPr>
            <w:rStyle w:val="Hyperlink"/>
            <w:noProof/>
          </w:rPr>
          <w:t>Свързаност и достъпност</w:t>
        </w:r>
        <w:r w:rsidR="001A2C66">
          <w:rPr>
            <w:noProof/>
            <w:webHidden/>
          </w:rPr>
          <w:tab/>
        </w:r>
        <w:r w:rsidR="001A2C66">
          <w:rPr>
            <w:noProof/>
            <w:webHidden/>
          </w:rPr>
          <w:fldChar w:fldCharType="begin"/>
        </w:r>
        <w:r w:rsidR="001A2C66">
          <w:rPr>
            <w:noProof/>
            <w:webHidden/>
          </w:rPr>
          <w:instrText xml:space="preserve"> PAGEREF _Toc791819 \h </w:instrText>
        </w:r>
        <w:r w:rsidR="001A2C66">
          <w:rPr>
            <w:noProof/>
            <w:webHidden/>
          </w:rPr>
        </w:r>
        <w:r w:rsidR="001A2C66">
          <w:rPr>
            <w:noProof/>
            <w:webHidden/>
          </w:rPr>
          <w:fldChar w:fldCharType="separate"/>
        </w:r>
        <w:r w:rsidR="001A2C66">
          <w:rPr>
            <w:noProof/>
            <w:webHidden/>
          </w:rPr>
          <w:t>55</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20" w:history="1">
        <w:r w:rsidR="001A2C66" w:rsidRPr="00655F11">
          <w:rPr>
            <w:rStyle w:val="Hyperlink"/>
            <w:noProof/>
          </w:rPr>
          <w:t>2.7.</w:t>
        </w:r>
        <w:r w:rsidR="001A2C66">
          <w:rPr>
            <w:rFonts w:asciiTheme="minorHAnsi" w:eastAsiaTheme="minorEastAsia" w:hAnsiTheme="minorHAnsi" w:cstheme="minorBidi"/>
            <w:noProof/>
            <w:lang w:eastAsia="bg-BG"/>
          </w:rPr>
          <w:tab/>
        </w:r>
        <w:r w:rsidR="001A2C66" w:rsidRPr="00655F11">
          <w:rPr>
            <w:rStyle w:val="Hyperlink"/>
            <w:noProof/>
          </w:rPr>
          <w:t>Околна среда</w:t>
        </w:r>
        <w:r w:rsidR="001A2C66">
          <w:rPr>
            <w:noProof/>
            <w:webHidden/>
          </w:rPr>
          <w:tab/>
        </w:r>
        <w:r w:rsidR="001A2C66">
          <w:rPr>
            <w:noProof/>
            <w:webHidden/>
          </w:rPr>
          <w:fldChar w:fldCharType="begin"/>
        </w:r>
        <w:r w:rsidR="001A2C66">
          <w:rPr>
            <w:noProof/>
            <w:webHidden/>
          </w:rPr>
          <w:instrText xml:space="preserve"> PAGEREF _Toc791820 \h </w:instrText>
        </w:r>
        <w:r w:rsidR="001A2C66">
          <w:rPr>
            <w:noProof/>
            <w:webHidden/>
          </w:rPr>
        </w:r>
        <w:r w:rsidR="001A2C66">
          <w:rPr>
            <w:noProof/>
            <w:webHidden/>
          </w:rPr>
          <w:fldChar w:fldCharType="separate"/>
        </w:r>
        <w:r w:rsidR="001A2C66">
          <w:rPr>
            <w:noProof/>
            <w:webHidden/>
          </w:rPr>
          <w:t>58</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21" w:history="1">
        <w:r w:rsidR="001A2C66" w:rsidRPr="00655F11">
          <w:rPr>
            <w:rStyle w:val="Hyperlink"/>
            <w:noProof/>
          </w:rPr>
          <w:t>2.8.</w:t>
        </w:r>
        <w:r w:rsidR="001A2C66">
          <w:rPr>
            <w:rFonts w:asciiTheme="minorHAnsi" w:eastAsiaTheme="minorEastAsia" w:hAnsiTheme="minorHAnsi" w:cstheme="minorBidi"/>
            <w:noProof/>
            <w:lang w:eastAsia="bg-BG"/>
          </w:rPr>
          <w:tab/>
        </w:r>
        <w:r w:rsidR="001A2C66" w:rsidRPr="00655F11">
          <w:rPr>
            <w:rStyle w:val="Hyperlink"/>
            <w:noProof/>
          </w:rPr>
          <w:t>Регионални различия</w:t>
        </w:r>
        <w:r w:rsidR="001A2C66">
          <w:rPr>
            <w:noProof/>
            <w:webHidden/>
          </w:rPr>
          <w:tab/>
        </w:r>
        <w:r w:rsidR="001A2C66">
          <w:rPr>
            <w:noProof/>
            <w:webHidden/>
          </w:rPr>
          <w:fldChar w:fldCharType="begin"/>
        </w:r>
        <w:r w:rsidR="001A2C66">
          <w:rPr>
            <w:noProof/>
            <w:webHidden/>
          </w:rPr>
          <w:instrText xml:space="preserve"> PAGEREF _Toc791821 \h </w:instrText>
        </w:r>
        <w:r w:rsidR="001A2C66">
          <w:rPr>
            <w:noProof/>
            <w:webHidden/>
          </w:rPr>
        </w:r>
        <w:r w:rsidR="001A2C66">
          <w:rPr>
            <w:noProof/>
            <w:webHidden/>
          </w:rPr>
          <w:fldChar w:fldCharType="separate"/>
        </w:r>
        <w:r w:rsidR="001A2C66">
          <w:rPr>
            <w:noProof/>
            <w:webHidden/>
          </w:rPr>
          <w:t>63</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22" w:history="1">
        <w:r w:rsidR="001A2C66" w:rsidRPr="00655F11">
          <w:rPr>
            <w:rStyle w:val="Hyperlink"/>
            <w:noProof/>
          </w:rPr>
          <w:t>2.8.1.</w:t>
        </w:r>
        <w:r w:rsidR="001A2C66">
          <w:rPr>
            <w:rFonts w:asciiTheme="minorHAnsi" w:eastAsiaTheme="minorEastAsia" w:hAnsiTheme="minorHAnsi" w:cstheme="minorBidi"/>
            <w:noProof/>
            <w:lang w:eastAsia="bg-BG"/>
          </w:rPr>
          <w:tab/>
        </w:r>
        <w:r w:rsidR="001A2C66" w:rsidRPr="00655F11">
          <w:rPr>
            <w:rStyle w:val="Hyperlink"/>
            <w:noProof/>
          </w:rPr>
          <w:t>Градски райони</w:t>
        </w:r>
        <w:r w:rsidR="001A2C66">
          <w:rPr>
            <w:noProof/>
            <w:webHidden/>
          </w:rPr>
          <w:tab/>
        </w:r>
        <w:r w:rsidR="001A2C66">
          <w:rPr>
            <w:noProof/>
            <w:webHidden/>
          </w:rPr>
          <w:fldChar w:fldCharType="begin"/>
        </w:r>
        <w:r w:rsidR="001A2C66">
          <w:rPr>
            <w:noProof/>
            <w:webHidden/>
          </w:rPr>
          <w:instrText xml:space="preserve"> PAGEREF _Toc791822 \h </w:instrText>
        </w:r>
        <w:r w:rsidR="001A2C66">
          <w:rPr>
            <w:noProof/>
            <w:webHidden/>
          </w:rPr>
        </w:r>
        <w:r w:rsidR="001A2C66">
          <w:rPr>
            <w:noProof/>
            <w:webHidden/>
          </w:rPr>
          <w:fldChar w:fldCharType="separate"/>
        </w:r>
        <w:r w:rsidR="001A2C66">
          <w:rPr>
            <w:noProof/>
            <w:webHidden/>
          </w:rPr>
          <w:t>65</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23" w:history="1">
        <w:r w:rsidR="001A2C66" w:rsidRPr="00655F11">
          <w:rPr>
            <w:rStyle w:val="Hyperlink"/>
            <w:noProof/>
          </w:rPr>
          <w:t>2.8.2.</w:t>
        </w:r>
        <w:r w:rsidR="001A2C66">
          <w:rPr>
            <w:rFonts w:asciiTheme="minorHAnsi" w:eastAsiaTheme="minorEastAsia" w:hAnsiTheme="minorHAnsi" w:cstheme="minorBidi"/>
            <w:noProof/>
            <w:lang w:eastAsia="bg-BG"/>
          </w:rPr>
          <w:tab/>
        </w:r>
        <w:r w:rsidR="001A2C66" w:rsidRPr="00655F11">
          <w:rPr>
            <w:rStyle w:val="Hyperlink"/>
            <w:noProof/>
          </w:rPr>
          <w:t>Селски райони</w:t>
        </w:r>
        <w:r w:rsidR="001A2C66">
          <w:rPr>
            <w:noProof/>
            <w:webHidden/>
          </w:rPr>
          <w:tab/>
        </w:r>
        <w:r w:rsidR="001A2C66">
          <w:rPr>
            <w:noProof/>
            <w:webHidden/>
          </w:rPr>
          <w:fldChar w:fldCharType="begin"/>
        </w:r>
        <w:r w:rsidR="001A2C66">
          <w:rPr>
            <w:noProof/>
            <w:webHidden/>
          </w:rPr>
          <w:instrText xml:space="preserve"> PAGEREF _Toc791823 \h </w:instrText>
        </w:r>
        <w:r w:rsidR="001A2C66">
          <w:rPr>
            <w:noProof/>
            <w:webHidden/>
          </w:rPr>
        </w:r>
        <w:r w:rsidR="001A2C66">
          <w:rPr>
            <w:noProof/>
            <w:webHidden/>
          </w:rPr>
          <w:fldChar w:fldCharType="separate"/>
        </w:r>
        <w:r w:rsidR="001A2C66">
          <w:rPr>
            <w:noProof/>
            <w:webHidden/>
          </w:rPr>
          <w:t>66</w:t>
        </w:r>
        <w:r w:rsidR="001A2C66">
          <w:rPr>
            <w:noProof/>
            <w:webHidden/>
          </w:rPr>
          <w:fldChar w:fldCharType="end"/>
        </w:r>
      </w:hyperlink>
    </w:p>
    <w:p w:rsidR="001A2C66" w:rsidRDefault="000671A4">
      <w:pPr>
        <w:pStyle w:val="TOC1"/>
        <w:tabs>
          <w:tab w:val="left" w:pos="440"/>
          <w:tab w:val="right" w:leader="dot" w:pos="9628"/>
        </w:tabs>
        <w:rPr>
          <w:rFonts w:asciiTheme="minorHAnsi" w:eastAsiaTheme="minorEastAsia" w:hAnsiTheme="minorHAnsi" w:cstheme="minorBidi"/>
          <w:noProof/>
          <w:lang w:eastAsia="bg-BG"/>
        </w:rPr>
      </w:pPr>
      <w:hyperlink w:anchor="_Toc791824" w:history="1">
        <w:r w:rsidR="001A2C66" w:rsidRPr="00655F11">
          <w:rPr>
            <w:rStyle w:val="Hyperlink"/>
            <w:noProof/>
          </w:rPr>
          <w:t>3.</w:t>
        </w:r>
        <w:r w:rsidR="001A2C66">
          <w:rPr>
            <w:rFonts w:asciiTheme="minorHAnsi" w:eastAsiaTheme="minorEastAsia" w:hAnsiTheme="minorHAnsi" w:cstheme="minorBidi"/>
            <w:noProof/>
            <w:lang w:eastAsia="bg-BG"/>
          </w:rPr>
          <w:tab/>
        </w:r>
        <w:r w:rsidR="001A2C66" w:rsidRPr="00655F11">
          <w:rPr>
            <w:rStyle w:val="Hyperlink"/>
            <w:noProof/>
          </w:rPr>
          <w:t>Национални приоритети за следващия програмен период</w:t>
        </w:r>
        <w:r w:rsidR="001A2C66">
          <w:rPr>
            <w:noProof/>
            <w:webHidden/>
          </w:rPr>
          <w:tab/>
        </w:r>
        <w:r w:rsidR="001A2C66">
          <w:rPr>
            <w:noProof/>
            <w:webHidden/>
          </w:rPr>
          <w:fldChar w:fldCharType="begin"/>
        </w:r>
        <w:r w:rsidR="001A2C66">
          <w:rPr>
            <w:noProof/>
            <w:webHidden/>
          </w:rPr>
          <w:instrText xml:space="preserve"> PAGEREF _Toc791824 \h </w:instrText>
        </w:r>
        <w:r w:rsidR="001A2C66">
          <w:rPr>
            <w:noProof/>
            <w:webHidden/>
          </w:rPr>
        </w:r>
        <w:r w:rsidR="001A2C66">
          <w:rPr>
            <w:noProof/>
            <w:webHidden/>
          </w:rPr>
          <w:fldChar w:fldCharType="separate"/>
        </w:r>
        <w:r w:rsidR="001A2C66">
          <w:rPr>
            <w:noProof/>
            <w:webHidden/>
          </w:rPr>
          <w:t>68</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25" w:history="1">
        <w:r w:rsidR="001A2C66" w:rsidRPr="00655F11">
          <w:rPr>
            <w:rStyle w:val="Hyperlink"/>
            <w:noProof/>
          </w:rPr>
          <w:t>3.1.</w:t>
        </w:r>
        <w:r w:rsidR="001A2C66">
          <w:rPr>
            <w:rFonts w:asciiTheme="minorHAnsi" w:eastAsiaTheme="minorEastAsia" w:hAnsiTheme="minorHAnsi" w:cstheme="minorBidi"/>
            <w:noProof/>
            <w:lang w:eastAsia="bg-BG"/>
          </w:rPr>
          <w:tab/>
        </w:r>
        <w:r w:rsidR="001A2C66" w:rsidRPr="00655F11">
          <w:rPr>
            <w:rStyle w:val="Hyperlink"/>
            <w:noProof/>
          </w:rPr>
          <w:t>Наука и иновации за конкурентоспособност</w:t>
        </w:r>
        <w:r w:rsidR="001A2C66">
          <w:rPr>
            <w:noProof/>
            <w:webHidden/>
          </w:rPr>
          <w:tab/>
        </w:r>
        <w:r w:rsidR="001A2C66">
          <w:rPr>
            <w:noProof/>
            <w:webHidden/>
          </w:rPr>
          <w:fldChar w:fldCharType="begin"/>
        </w:r>
        <w:r w:rsidR="001A2C66">
          <w:rPr>
            <w:noProof/>
            <w:webHidden/>
          </w:rPr>
          <w:instrText xml:space="preserve"> PAGEREF _Toc791825 \h </w:instrText>
        </w:r>
        <w:r w:rsidR="001A2C66">
          <w:rPr>
            <w:noProof/>
            <w:webHidden/>
          </w:rPr>
        </w:r>
        <w:r w:rsidR="001A2C66">
          <w:rPr>
            <w:noProof/>
            <w:webHidden/>
          </w:rPr>
          <w:fldChar w:fldCharType="separate"/>
        </w:r>
        <w:r w:rsidR="001A2C66">
          <w:rPr>
            <w:noProof/>
            <w:webHidden/>
          </w:rPr>
          <w:t>68</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26" w:history="1">
        <w:r w:rsidR="001A2C66" w:rsidRPr="00655F11">
          <w:rPr>
            <w:rStyle w:val="Hyperlink"/>
            <w:noProof/>
          </w:rPr>
          <w:t>3.1.1.</w:t>
        </w:r>
        <w:r w:rsidR="001A2C66">
          <w:rPr>
            <w:rFonts w:asciiTheme="minorHAnsi" w:eastAsiaTheme="minorEastAsia" w:hAnsiTheme="minorHAnsi" w:cstheme="minorBidi"/>
            <w:noProof/>
            <w:lang w:eastAsia="bg-BG"/>
          </w:rPr>
          <w:tab/>
        </w:r>
        <w:r w:rsidR="001A2C66" w:rsidRPr="00655F11">
          <w:rPr>
            <w:rStyle w:val="Hyperlink"/>
            <w:noProof/>
          </w:rPr>
          <w:t>НИРД и научна инфраструктура</w:t>
        </w:r>
        <w:r w:rsidR="001A2C66">
          <w:rPr>
            <w:noProof/>
            <w:webHidden/>
          </w:rPr>
          <w:tab/>
        </w:r>
        <w:r w:rsidR="001A2C66">
          <w:rPr>
            <w:noProof/>
            <w:webHidden/>
          </w:rPr>
          <w:fldChar w:fldCharType="begin"/>
        </w:r>
        <w:r w:rsidR="001A2C66">
          <w:rPr>
            <w:noProof/>
            <w:webHidden/>
          </w:rPr>
          <w:instrText xml:space="preserve"> PAGEREF _Toc791826 \h </w:instrText>
        </w:r>
        <w:r w:rsidR="001A2C66">
          <w:rPr>
            <w:noProof/>
            <w:webHidden/>
          </w:rPr>
        </w:r>
        <w:r w:rsidR="001A2C66">
          <w:rPr>
            <w:noProof/>
            <w:webHidden/>
          </w:rPr>
          <w:fldChar w:fldCharType="separate"/>
        </w:r>
        <w:r w:rsidR="001A2C66">
          <w:rPr>
            <w:noProof/>
            <w:webHidden/>
          </w:rPr>
          <w:t>69</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27" w:history="1">
        <w:r w:rsidR="001A2C66" w:rsidRPr="00655F11">
          <w:rPr>
            <w:rStyle w:val="Hyperlink"/>
            <w:noProof/>
          </w:rPr>
          <w:t>3.1.2.</w:t>
        </w:r>
        <w:r w:rsidR="001A2C66">
          <w:rPr>
            <w:rFonts w:asciiTheme="minorHAnsi" w:eastAsiaTheme="minorEastAsia" w:hAnsiTheme="minorHAnsi" w:cstheme="minorBidi"/>
            <w:noProof/>
            <w:lang w:eastAsia="bg-BG"/>
          </w:rPr>
          <w:tab/>
        </w:r>
        <w:r w:rsidR="001A2C66" w:rsidRPr="00655F11">
          <w:rPr>
            <w:rStyle w:val="Hyperlink"/>
            <w:noProof/>
          </w:rPr>
          <w:t>Стимулиране на иновациите в предприятията</w:t>
        </w:r>
        <w:r w:rsidR="001A2C66">
          <w:rPr>
            <w:noProof/>
            <w:webHidden/>
          </w:rPr>
          <w:tab/>
        </w:r>
        <w:r w:rsidR="001A2C66">
          <w:rPr>
            <w:noProof/>
            <w:webHidden/>
          </w:rPr>
          <w:fldChar w:fldCharType="begin"/>
        </w:r>
        <w:r w:rsidR="001A2C66">
          <w:rPr>
            <w:noProof/>
            <w:webHidden/>
          </w:rPr>
          <w:instrText xml:space="preserve"> PAGEREF _Toc791827 \h </w:instrText>
        </w:r>
        <w:r w:rsidR="001A2C66">
          <w:rPr>
            <w:noProof/>
            <w:webHidden/>
          </w:rPr>
        </w:r>
        <w:r w:rsidR="001A2C66">
          <w:rPr>
            <w:noProof/>
            <w:webHidden/>
          </w:rPr>
          <w:fldChar w:fldCharType="separate"/>
        </w:r>
        <w:r w:rsidR="001A2C66">
          <w:rPr>
            <w:noProof/>
            <w:webHidden/>
          </w:rPr>
          <w:t>69</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28" w:history="1">
        <w:r w:rsidR="001A2C66" w:rsidRPr="00655F11">
          <w:rPr>
            <w:rStyle w:val="Hyperlink"/>
            <w:noProof/>
          </w:rPr>
          <w:t>3.2.</w:t>
        </w:r>
        <w:r w:rsidR="001A2C66">
          <w:rPr>
            <w:rFonts w:asciiTheme="minorHAnsi" w:eastAsiaTheme="minorEastAsia" w:hAnsiTheme="minorHAnsi" w:cstheme="minorBidi"/>
            <w:noProof/>
            <w:lang w:eastAsia="bg-BG"/>
          </w:rPr>
          <w:tab/>
        </w:r>
        <w:r w:rsidR="001A2C66" w:rsidRPr="00655F11">
          <w:rPr>
            <w:rStyle w:val="Hyperlink"/>
            <w:noProof/>
          </w:rPr>
          <w:t>Образование и обучение за високо квалифицирана работна сила</w:t>
        </w:r>
        <w:r w:rsidR="001A2C66">
          <w:rPr>
            <w:noProof/>
            <w:webHidden/>
          </w:rPr>
          <w:tab/>
        </w:r>
        <w:r w:rsidR="001A2C66">
          <w:rPr>
            <w:noProof/>
            <w:webHidden/>
          </w:rPr>
          <w:fldChar w:fldCharType="begin"/>
        </w:r>
        <w:r w:rsidR="001A2C66">
          <w:rPr>
            <w:noProof/>
            <w:webHidden/>
          </w:rPr>
          <w:instrText xml:space="preserve"> PAGEREF _Toc791828 \h </w:instrText>
        </w:r>
        <w:r w:rsidR="001A2C66">
          <w:rPr>
            <w:noProof/>
            <w:webHidden/>
          </w:rPr>
        </w:r>
        <w:r w:rsidR="001A2C66">
          <w:rPr>
            <w:noProof/>
            <w:webHidden/>
          </w:rPr>
          <w:fldChar w:fldCharType="separate"/>
        </w:r>
        <w:r w:rsidR="001A2C66">
          <w:rPr>
            <w:noProof/>
            <w:webHidden/>
          </w:rPr>
          <w:t>70</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29" w:history="1">
        <w:r w:rsidR="001A2C66" w:rsidRPr="00655F11">
          <w:rPr>
            <w:rStyle w:val="Hyperlink"/>
            <w:noProof/>
          </w:rPr>
          <w:t>3.2.1.</w:t>
        </w:r>
        <w:r w:rsidR="001A2C66">
          <w:rPr>
            <w:rFonts w:asciiTheme="minorHAnsi" w:eastAsiaTheme="minorEastAsia" w:hAnsiTheme="minorHAnsi" w:cstheme="minorBidi"/>
            <w:noProof/>
            <w:lang w:eastAsia="bg-BG"/>
          </w:rPr>
          <w:tab/>
        </w:r>
        <w:r w:rsidR="001A2C66" w:rsidRPr="00655F11">
          <w:rPr>
            <w:rStyle w:val="Hyperlink"/>
            <w:noProof/>
          </w:rPr>
          <w:t>Повишаване на уменията</w:t>
        </w:r>
        <w:r w:rsidR="001A2C66">
          <w:rPr>
            <w:noProof/>
            <w:webHidden/>
          </w:rPr>
          <w:tab/>
        </w:r>
        <w:r w:rsidR="001A2C66">
          <w:rPr>
            <w:noProof/>
            <w:webHidden/>
          </w:rPr>
          <w:fldChar w:fldCharType="begin"/>
        </w:r>
        <w:r w:rsidR="001A2C66">
          <w:rPr>
            <w:noProof/>
            <w:webHidden/>
          </w:rPr>
          <w:instrText xml:space="preserve"> PAGEREF _Toc791829 \h </w:instrText>
        </w:r>
        <w:r w:rsidR="001A2C66">
          <w:rPr>
            <w:noProof/>
            <w:webHidden/>
          </w:rPr>
        </w:r>
        <w:r w:rsidR="001A2C66">
          <w:rPr>
            <w:noProof/>
            <w:webHidden/>
          </w:rPr>
          <w:fldChar w:fldCharType="separate"/>
        </w:r>
        <w:r w:rsidR="001A2C66">
          <w:rPr>
            <w:noProof/>
            <w:webHidden/>
          </w:rPr>
          <w:t>70</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30" w:history="1">
        <w:r w:rsidR="001A2C66" w:rsidRPr="00655F11">
          <w:rPr>
            <w:rStyle w:val="Hyperlink"/>
            <w:noProof/>
          </w:rPr>
          <w:t>3.2.2.</w:t>
        </w:r>
        <w:r w:rsidR="001A2C66">
          <w:rPr>
            <w:rFonts w:asciiTheme="minorHAnsi" w:eastAsiaTheme="minorEastAsia" w:hAnsiTheme="minorHAnsi" w:cstheme="minorBidi"/>
            <w:noProof/>
            <w:lang w:eastAsia="bg-BG"/>
          </w:rPr>
          <w:tab/>
        </w:r>
        <w:r w:rsidR="001A2C66" w:rsidRPr="00655F11">
          <w:rPr>
            <w:rStyle w:val="Hyperlink"/>
            <w:noProof/>
          </w:rPr>
          <w:t>Включване в заетост</w:t>
        </w:r>
        <w:r w:rsidR="001A2C66">
          <w:rPr>
            <w:noProof/>
            <w:webHidden/>
          </w:rPr>
          <w:tab/>
        </w:r>
        <w:r w:rsidR="001A2C66">
          <w:rPr>
            <w:noProof/>
            <w:webHidden/>
          </w:rPr>
          <w:fldChar w:fldCharType="begin"/>
        </w:r>
        <w:r w:rsidR="001A2C66">
          <w:rPr>
            <w:noProof/>
            <w:webHidden/>
          </w:rPr>
          <w:instrText xml:space="preserve"> PAGEREF _Toc791830 \h </w:instrText>
        </w:r>
        <w:r w:rsidR="001A2C66">
          <w:rPr>
            <w:noProof/>
            <w:webHidden/>
          </w:rPr>
        </w:r>
        <w:r w:rsidR="001A2C66">
          <w:rPr>
            <w:noProof/>
            <w:webHidden/>
          </w:rPr>
          <w:fldChar w:fldCharType="separate"/>
        </w:r>
        <w:r w:rsidR="001A2C66">
          <w:rPr>
            <w:noProof/>
            <w:webHidden/>
          </w:rPr>
          <w:t>71</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31" w:history="1">
        <w:r w:rsidR="001A2C66" w:rsidRPr="00655F11">
          <w:rPr>
            <w:rStyle w:val="Hyperlink"/>
            <w:noProof/>
          </w:rPr>
          <w:t>3.2.3.</w:t>
        </w:r>
        <w:r w:rsidR="001A2C66">
          <w:rPr>
            <w:rFonts w:asciiTheme="minorHAnsi" w:eastAsiaTheme="minorEastAsia" w:hAnsiTheme="minorHAnsi" w:cstheme="minorBidi"/>
            <w:noProof/>
            <w:lang w:eastAsia="bg-BG"/>
          </w:rPr>
          <w:tab/>
        </w:r>
        <w:r w:rsidR="001A2C66" w:rsidRPr="00655F11">
          <w:rPr>
            <w:rStyle w:val="Hyperlink"/>
            <w:noProof/>
          </w:rPr>
          <w:t>Подобряване на здравните характеристики на работната сила</w:t>
        </w:r>
        <w:r w:rsidR="001A2C66">
          <w:rPr>
            <w:noProof/>
            <w:webHidden/>
          </w:rPr>
          <w:tab/>
        </w:r>
        <w:r w:rsidR="001A2C66">
          <w:rPr>
            <w:noProof/>
            <w:webHidden/>
          </w:rPr>
          <w:fldChar w:fldCharType="begin"/>
        </w:r>
        <w:r w:rsidR="001A2C66">
          <w:rPr>
            <w:noProof/>
            <w:webHidden/>
          </w:rPr>
          <w:instrText xml:space="preserve"> PAGEREF _Toc791831 \h </w:instrText>
        </w:r>
        <w:r w:rsidR="001A2C66">
          <w:rPr>
            <w:noProof/>
            <w:webHidden/>
          </w:rPr>
        </w:r>
        <w:r w:rsidR="001A2C66">
          <w:rPr>
            <w:noProof/>
            <w:webHidden/>
          </w:rPr>
          <w:fldChar w:fldCharType="separate"/>
        </w:r>
        <w:r w:rsidR="001A2C66">
          <w:rPr>
            <w:noProof/>
            <w:webHidden/>
          </w:rPr>
          <w:t>72</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32" w:history="1">
        <w:r w:rsidR="001A2C66" w:rsidRPr="00655F11">
          <w:rPr>
            <w:rStyle w:val="Hyperlink"/>
            <w:noProof/>
          </w:rPr>
          <w:t>3.3.</w:t>
        </w:r>
        <w:r w:rsidR="001A2C66">
          <w:rPr>
            <w:rFonts w:asciiTheme="minorHAnsi" w:eastAsiaTheme="minorEastAsia" w:hAnsiTheme="minorHAnsi" w:cstheme="minorBidi"/>
            <w:noProof/>
            <w:lang w:eastAsia="bg-BG"/>
          </w:rPr>
          <w:tab/>
        </w:r>
        <w:r w:rsidR="001A2C66" w:rsidRPr="00655F11">
          <w:rPr>
            <w:rStyle w:val="Hyperlink"/>
            <w:noProof/>
          </w:rPr>
          <w:t>Подобряване на свързаността и цифровизация на икономиката</w:t>
        </w:r>
        <w:r w:rsidR="001A2C66">
          <w:rPr>
            <w:noProof/>
            <w:webHidden/>
          </w:rPr>
          <w:tab/>
        </w:r>
        <w:r w:rsidR="001A2C66">
          <w:rPr>
            <w:noProof/>
            <w:webHidden/>
          </w:rPr>
          <w:fldChar w:fldCharType="begin"/>
        </w:r>
        <w:r w:rsidR="001A2C66">
          <w:rPr>
            <w:noProof/>
            <w:webHidden/>
          </w:rPr>
          <w:instrText xml:space="preserve"> PAGEREF _Toc791832 \h </w:instrText>
        </w:r>
        <w:r w:rsidR="001A2C66">
          <w:rPr>
            <w:noProof/>
            <w:webHidden/>
          </w:rPr>
        </w:r>
        <w:r w:rsidR="001A2C66">
          <w:rPr>
            <w:noProof/>
            <w:webHidden/>
          </w:rPr>
          <w:fldChar w:fldCharType="separate"/>
        </w:r>
        <w:r w:rsidR="001A2C66">
          <w:rPr>
            <w:noProof/>
            <w:webHidden/>
          </w:rPr>
          <w:t>72</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33" w:history="1">
        <w:r w:rsidR="001A2C66" w:rsidRPr="00655F11">
          <w:rPr>
            <w:rStyle w:val="Hyperlink"/>
            <w:noProof/>
          </w:rPr>
          <w:t>3.3.1.</w:t>
        </w:r>
        <w:r w:rsidR="001A2C66">
          <w:rPr>
            <w:rFonts w:asciiTheme="minorHAnsi" w:eastAsiaTheme="minorEastAsia" w:hAnsiTheme="minorHAnsi" w:cstheme="minorBidi"/>
            <w:noProof/>
            <w:lang w:eastAsia="bg-BG"/>
          </w:rPr>
          <w:tab/>
        </w:r>
        <w:r w:rsidR="001A2C66" w:rsidRPr="00655F11">
          <w:rPr>
            <w:rStyle w:val="Hyperlink"/>
            <w:noProof/>
          </w:rPr>
          <w:t>Цифрова инфраструктура</w:t>
        </w:r>
        <w:r w:rsidR="001A2C66">
          <w:rPr>
            <w:noProof/>
            <w:webHidden/>
          </w:rPr>
          <w:tab/>
        </w:r>
        <w:r w:rsidR="001A2C66">
          <w:rPr>
            <w:noProof/>
            <w:webHidden/>
          </w:rPr>
          <w:fldChar w:fldCharType="begin"/>
        </w:r>
        <w:r w:rsidR="001A2C66">
          <w:rPr>
            <w:noProof/>
            <w:webHidden/>
          </w:rPr>
          <w:instrText xml:space="preserve"> PAGEREF _Toc791833 \h </w:instrText>
        </w:r>
        <w:r w:rsidR="001A2C66">
          <w:rPr>
            <w:noProof/>
            <w:webHidden/>
          </w:rPr>
        </w:r>
        <w:r w:rsidR="001A2C66">
          <w:rPr>
            <w:noProof/>
            <w:webHidden/>
          </w:rPr>
          <w:fldChar w:fldCharType="separate"/>
        </w:r>
        <w:r w:rsidR="001A2C66">
          <w:rPr>
            <w:noProof/>
            <w:webHidden/>
          </w:rPr>
          <w:t>72</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34" w:history="1">
        <w:r w:rsidR="001A2C66" w:rsidRPr="00655F11">
          <w:rPr>
            <w:rStyle w:val="Hyperlink"/>
            <w:noProof/>
          </w:rPr>
          <w:t>3.3.2.</w:t>
        </w:r>
        <w:r w:rsidR="001A2C66">
          <w:rPr>
            <w:rFonts w:asciiTheme="minorHAnsi" w:eastAsiaTheme="minorEastAsia" w:hAnsiTheme="minorHAnsi" w:cstheme="minorBidi"/>
            <w:noProof/>
            <w:lang w:eastAsia="bg-BG"/>
          </w:rPr>
          <w:tab/>
        </w:r>
        <w:r w:rsidR="001A2C66" w:rsidRPr="00655F11">
          <w:rPr>
            <w:rStyle w:val="Hyperlink"/>
            <w:noProof/>
          </w:rPr>
          <w:t>Свързаност и достъпност</w:t>
        </w:r>
        <w:r w:rsidR="001A2C66">
          <w:rPr>
            <w:noProof/>
            <w:webHidden/>
          </w:rPr>
          <w:tab/>
        </w:r>
        <w:r w:rsidR="001A2C66">
          <w:rPr>
            <w:noProof/>
            <w:webHidden/>
          </w:rPr>
          <w:fldChar w:fldCharType="begin"/>
        </w:r>
        <w:r w:rsidR="001A2C66">
          <w:rPr>
            <w:noProof/>
            <w:webHidden/>
          </w:rPr>
          <w:instrText xml:space="preserve"> PAGEREF _Toc791834 \h </w:instrText>
        </w:r>
        <w:r w:rsidR="001A2C66">
          <w:rPr>
            <w:noProof/>
            <w:webHidden/>
          </w:rPr>
        </w:r>
        <w:r w:rsidR="001A2C66">
          <w:rPr>
            <w:noProof/>
            <w:webHidden/>
          </w:rPr>
          <w:fldChar w:fldCharType="separate"/>
        </w:r>
        <w:r w:rsidR="001A2C66">
          <w:rPr>
            <w:noProof/>
            <w:webHidden/>
          </w:rPr>
          <w:t>73</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35" w:history="1">
        <w:r w:rsidR="001A2C66" w:rsidRPr="00655F11">
          <w:rPr>
            <w:rStyle w:val="Hyperlink"/>
            <w:noProof/>
          </w:rPr>
          <w:t>3.3.3.</w:t>
        </w:r>
        <w:r w:rsidR="001A2C66">
          <w:rPr>
            <w:rFonts w:asciiTheme="minorHAnsi" w:eastAsiaTheme="minorEastAsia" w:hAnsiTheme="minorHAnsi" w:cstheme="minorBidi"/>
            <w:noProof/>
            <w:lang w:eastAsia="bg-BG"/>
          </w:rPr>
          <w:tab/>
        </w:r>
        <w:r w:rsidR="001A2C66" w:rsidRPr="00655F11">
          <w:rPr>
            <w:rStyle w:val="Hyperlink"/>
            <w:noProof/>
          </w:rPr>
          <w:t>Електронно управление</w:t>
        </w:r>
        <w:r w:rsidR="001A2C66">
          <w:rPr>
            <w:noProof/>
            <w:webHidden/>
          </w:rPr>
          <w:tab/>
        </w:r>
        <w:r w:rsidR="001A2C66">
          <w:rPr>
            <w:noProof/>
            <w:webHidden/>
          </w:rPr>
          <w:fldChar w:fldCharType="begin"/>
        </w:r>
        <w:r w:rsidR="001A2C66">
          <w:rPr>
            <w:noProof/>
            <w:webHidden/>
          </w:rPr>
          <w:instrText xml:space="preserve"> PAGEREF _Toc791835 \h </w:instrText>
        </w:r>
        <w:r w:rsidR="001A2C66">
          <w:rPr>
            <w:noProof/>
            <w:webHidden/>
          </w:rPr>
        </w:r>
        <w:r w:rsidR="001A2C66">
          <w:rPr>
            <w:noProof/>
            <w:webHidden/>
          </w:rPr>
          <w:fldChar w:fldCharType="separate"/>
        </w:r>
        <w:r w:rsidR="001A2C66">
          <w:rPr>
            <w:noProof/>
            <w:webHidden/>
          </w:rPr>
          <w:t>73</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36" w:history="1">
        <w:r w:rsidR="001A2C66" w:rsidRPr="00655F11">
          <w:rPr>
            <w:rStyle w:val="Hyperlink"/>
            <w:noProof/>
          </w:rPr>
          <w:t>3.4.</w:t>
        </w:r>
        <w:r w:rsidR="001A2C66">
          <w:rPr>
            <w:rFonts w:asciiTheme="minorHAnsi" w:eastAsiaTheme="minorEastAsia" w:hAnsiTheme="minorHAnsi" w:cstheme="minorBidi"/>
            <w:noProof/>
            <w:lang w:eastAsia="bg-BG"/>
          </w:rPr>
          <w:tab/>
        </w:r>
        <w:r w:rsidR="00AD04B1">
          <w:rPr>
            <w:rStyle w:val="Hyperlink"/>
            <w:noProof/>
          </w:rPr>
          <w:t>Оползотворяване</w:t>
        </w:r>
        <w:r w:rsidR="001A2C66" w:rsidRPr="00655F11">
          <w:rPr>
            <w:rStyle w:val="Hyperlink"/>
            <w:noProof/>
          </w:rPr>
          <w:t xml:space="preserve"> на местния потенциал</w:t>
        </w:r>
        <w:r w:rsidR="001A2C66">
          <w:rPr>
            <w:noProof/>
            <w:webHidden/>
          </w:rPr>
          <w:tab/>
        </w:r>
        <w:r w:rsidR="001A2C66">
          <w:rPr>
            <w:noProof/>
            <w:webHidden/>
          </w:rPr>
          <w:fldChar w:fldCharType="begin"/>
        </w:r>
        <w:r w:rsidR="001A2C66">
          <w:rPr>
            <w:noProof/>
            <w:webHidden/>
          </w:rPr>
          <w:instrText xml:space="preserve"> PAGEREF _Toc791836 \h </w:instrText>
        </w:r>
        <w:r w:rsidR="001A2C66">
          <w:rPr>
            <w:noProof/>
            <w:webHidden/>
          </w:rPr>
        </w:r>
        <w:r w:rsidR="001A2C66">
          <w:rPr>
            <w:noProof/>
            <w:webHidden/>
          </w:rPr>
          <w:fldChar w:fldCharType="separate"/>
        </w:r>
        <w:r w:rsidR="001A2C66">
          <w:rPr>
            <w:noProof/>
            <w:webHidden/>
          </w:rPr>
          <w:t>73</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37" w:history="1">
        <w:r w:rsidR="001A2C66" w:rsidRPr="00655F11">
          <w:rPr>
            <w:rStyle w:val="Hyperlink"/>
            <w:noProof/>
          </w:rPr>
          <w:t>3.4.1.</w:t>
        </w:r>
        <w:r w:rsidR="001A2C66">
          <w:rPr>
            <w:rFonts w:asciiTheme="minorHAnsi" w:eastAsiaTheme="minorEastAsia" w:hAnsiTheme="minorHAnsi" w:cstheme="minorBidi"/>
            <w:noProof/>
            <w:lang w:eastAsia="bg-BG"/>
          </w:rPr>
          <w:tab/>
        </w:r>
        <w:r w:rsidR="001A2C66" w:rsidRPr="00655F11">
          <w:rPr>
            <w:rStyle w:val="Hyperlink"/>
            <w:noProof/>
          </w:rPr>
          <w:t>Туризъм</w:t>
        </w:r>
        <w:r w:rsidR="001A2C66">
          <w:rPr>
            <w:noProof/>
            <w:webHidden/>
          </w:rPr>
          <w:tab/>
        </w:r>
        <w:r w:rsidR="001A2C66">
          <w:rPr>
            <w:noProof/>
            <w:webHidden/>
          </w:rPr>
          <w:fldChar w:fldCharType="begin"/>
        </w:r>
        <w:r w:rsidR="001A2C66">
          <w:rPr>
            <w:noProof/>
            <w:webHidden/>
          </w:rPr>
          <w:instrText xml:space="preserve"> PAGEREF _Toc791837 \h </w:instrText>
        </w:r>
        <w:r w:rsidR="001A2C66">
          <w:rPr>
            <w:noProof/>
            <w:webHidden/>
          </w:rPr>
        </w:r>
        <w:r w:rsidR="001A2C66">
          <w:rPr>
            <w:noProof/>
            <w:webHidden/>
          </w:rPr>
          <w:fldChar w:fldCharType="separate"/>
        </w:r>
        <w:r w:rsidR="001A2C66">
          <w:rPr>
            <w:noProof/>
            <w:webHidden/>
          </w:rPr>
          <w:t>74</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38" w:history="1">
        <w:r w:rsidR="001A2C66" w:rsidRPr="00655F11">
          <w:rPr>
            <w:rStyle w:val="Hyperlink"/>
            <w:noProof/>
          </w:rPr>
          <w:t>3.4.2.</w:t>
        </w:r>
        <w:r w:rsidR="001A2C66">
          <w:rPr>
            <w:rFonts w:asciiTheme="minorHAnsi" w:eastAsiaTheme="minorEastAsia" w:hAnsiTheme="minorHAnsi" w:cstheme="minorBidi"/>
            <w:noProof/>
            <w:lang w:eastAsia="bg-BG"/>
          </w:rPr>
          <w:tab/>
        </w:r>
        <w:r w:rsidR="001A2C66" w:rsidRPr="00655F11">
          <w:rPr>
            <w:rStyle w:val="Hyperlink"/>
            <w:noProof/>
          </w:rPr>
          <w:t>Екологична инфраструктура</w:t>
        </w:r>
        <w:r w:rsidR="001A2C66">
          <w:rPr>
            <w:noProof/>
            <w:webHidden/>
          </w:rPr>
          <w:tab/>
        </w:r>
        <w:r w:rsidR="001A2C66">
          <w:rPr>
            <w:noProof/>
            <w:webHidden/>
          </w:rPr>
          <w:fldChar w:fldCharType="begin"/>
        </w:r>
        <w:r w:rsidR="001A2C66">
          <w:rPr>
            <w:noProof/>
            <w:webHidden/>
          </w:rPr>
          <w:instrText xml:space="preserve"> PAGEREF _Toc791838 \h </w:instrText>
        </w:r>
        <w:r w:rsidR="001A2C66">
          <w:rPr>
            <w:noProof/>
            <w:webHidden/>
          </w:rPr>
        </w:r>
        <w:r w:rsidR="001A2C66">
          <w:rPr>
            <w:noProof/>
            <w:webHidden/>
          </w:rPr>
          <w:fldChar w:fldCharType="separate"/>
        </w:r>
        <w:r w:rsidR="001A2C66">
          <w:rPr>
            <w:noProof/>
            <w:webHidden/>
          </w:rPr>
          <w:t>74</w:t>
        </w:r>
        <w:r w:rsidR="001A2C66">
          <w:rPr>
            <w:noProof/>
            <w:webHidden/>
          </w:rPr>
          <w:fldChar w:fldCharType="end"/>
        </w:r>
      </w:hyperlink>
    </w:p>
    <w:p w:rsidR="001A2C66" w:rsidRDefault="000671A4">
      <w:pPr>
        <w:pStyle w:val="TOC3"/>
        <w:tabs>
          <w:tab w:val="left" w:pos="1320"/>
          <w:tab w:val="right" w:leader="dot" w:pos="9628"/>
        </w:tabs>
        <w:rPr>
          <w:rFonts w:asciiTheme="minorHAnsi" w:eastAsiaTheme="minorEastAsia" w:hAnsiTheme="minorHAnsi" w:cstheme="minorBidi"/>
          <w:noProof/>
          <w:lang w:eastAsia="bg-BG"/>
        </w:rPr>
      </w:pPr>
      <w:hyperlink w:anchor="_Toc791839" w:history="1">
        <w:r w:rsidR="001A2C66" w:rsidRPr="00655F11">
          <w:rPr>
            <w:rStyle w:val="Hyperlink"/>
            <w:noProof/>
          </w:rPr>
          <w:t>3.4.3.</w:t>
        </w:r>
        <w:r w:rsidR="001A2C66">
          <w:rPr>
            <w:rFonts w:asciiTheme="minorHAnsi" w:eastAsiaTheme="minorEastAsia" w:hAnsiTheme="minorHAnsi" w:cstheme="minorBidi"/>
            <w:noProof/>
            <w:lang w:eastAsia="bg-BG"/>
          </w:rPr>
          <w:tab/>
        </w:r>
        <w:r w:rsidR="001A2C66" w:rsidRPr="00655F11">
          <w:rPr>
            <w:rStyle w:val="Hyperlink"/>
            <w:noProof/>
          </w:rPr>
          <w:t>Социална инфраструктура</w:t>
        </w:r>
        <w:r w:rsidR="001A2C66">
          <w:rPr>
            <w:noProof/>
            <w:webHidden/>
          </w:rPr>
          <w:tab/>
        </w:r>
        <w:r w:rsidR="001A2C66">
          <w:rPr>
            <w:noProof/>
            <w:webHidden/>
          </w:rPr>
          <w:fldChar w:fldCharType="begin"/>
        </w:r>
        <w:r w:rsidR="001A2C66">
          <w:rPr>
            <w:noProof/>
            <w:webHidden/>
          </w:rPr>
          <w:instrText xml:space="preserve"> PAGEREF _Toc791839 \h </w:instrText>
        </w:r>
        <w:r w:rsidR="001A2C66">
          <w:rPr>
            <w:noProof/>
            <w:webHidden/>
          </w:rPr>
        </w:r>
        <w:r w:rsidR="001A2C66">
          <w:rPr>
            <w:noProof/>
            <w:webHidden/>
          </w:rPr>
          <w:fldChar w:fldCharType="separate"/>
        </w:r>
        <w:r w:rsidR="001A2C66">
          <w:rPr>
            <w:noProof/>
            <w:webHidden/>
          </w:rPr>
          <w:t>75</w:t>
        </w:r>
        <w:r w:rsidR="001A2C66">
          <w:rPr>
            <w:noProof/>
            <w:webHidden/>
          </w:rPr>
          <w:fldChar w:fldCharType="end"/>
        </w:r>
      </w:hyperlink>
    </w:p>
    <w:p w:rsidR="001A2C66" w:rsidRDefault="000671A4">
      <w:pPr>
        <w:pStyle w:val="TOC2"/>
        <w:tabs>
          <w:tab w:val="left" w:pos="880"/>
          <w:tab w:val="right" w:leader="dot" w:pos="9628"/>
        </w:tabs>
        <w:rPr>
          <w:rFonts w:asciiTheme="minorHAnsi" w:eastAsiaTheme="minorEastAsia" w:hAnsiTheme="minorHAnsi" w:cstheme="minorBidi"/>
          <w:noProof/>
          <w:lang w:eastAsia="bg-BG"/>
        </w:rPr>
      </w:pPr>
      <w:hyperlink w:anchor="_Toc791840" w:history="1">
        <w:r w:rsidR="001A2C66" w:rsidRPr="00655F11">
          <w:rPr>
            <w:rStyle w:val="Hyperlink"/>
            <w:noProof/>
          </w:rPr>
          <w:t>3.5.</w:t>
        </w:r>
        <w:r w:rsidR="001A2C66">
          <w:rPr>
            <w:rFonts w:asciiTheme="minorHAnsi" w:eastAsiaTheme="minorEastAsia" w:hAnsiTheme="minorHAnsi" w:cstheme="minorBidi"/>
            <w:noProof/>
            <w:lang w:eastAsia="bg-BG"/>
          </w:rPr>
          <w:tab/>
        </w:r>
        <w:r w:rsidR="001A2C66" w:rsidRPr="00655F11">
          <w:rPr>
            <w:rStyle w:val="Hyperlink"/>
            <w:noProof/>
          </w:rPr>
          <w:t>Хоризонтални политики</w:t>
        </w:r>
        <w:r w:rsidR="001A2C66">
          <w:rPr>
            <w:noProof/>
            <w:webHidden/>
          </w:rPr>
          <w:tab/>
        </w:r>
        <w:r w:rsidR="001A2C66">
          <w:rPr>
            <w:noProof/>
            <w:webHidden/>
          </w:rPr>
          <w:fldChar w:fldCharType="begin"/>
        </w:r>
        <w:r w:rsidR="001A2C66">
          <w:rPr>
            <w:noProof/>
            <w:webHidden/>
          </w:rPr>
          <w:instrText xml:space="preserve"> PAGEREF _Toc791840 \h </w:instrText>
        </w:r>
        <w:r w:rsidR="001A2C66">
          <w:rPr>
            <w:noProof/>
            <w:webHidden/>
          </w:rPr>
        </w:r>
        <w:r w:rsidR="001A2C66">
          <w:rPr>
            <w:noProof/>
            <w:webHidden/>
          </w:rPr>
          <w:fldChar w:fldCharType="separate"/>
        </w:r>
        <w:r w:rsidR="001A2C66">
          <w:rPr>
            <w:noProof/>
            <w:webHidden/>
          </w:rPr>
          <w:t>75</w:t>
        </w:r>
        <w:r w:rsidR="001A2C66">
          <w:rPr>
            <w:noProof/>
            <w:webHidden/>
          </w:rPr>
          <w:fldChar w:fldCharType="end"/>
        </w:r>
      </w:hyperlink>
    </w:p>
    <w:p w:rsidR="001A2C66" w:rsidRDefault="000671A4">
      <w:pPr>
        <w:pStyle w:val="TOC1"/>
        <w:tabs>
          <w:tab w:val="left" w:pos="440"/>
          <w:tab w:val="right" w:leader="dot" w:pos="9628"/>
        </w:tabs>
        <w:rPr>
          <w:rFonts w:asciiTheme="minorHAnsi" w:eastAsiaTheme="minorEastAsia" w:hAnsiTheme="minorHAnsi" w:cstheme="minorBidi"/>
          <w:noProof/>
          <w:lang w:eastAsia="bg-BG"/>
        </w:rPr>
      </w:pPr>
      <w:hyperlink w:anchor="_Toc791841" w:history="1">
        <w:r w:rsidR="001A2C66" w:rsidRPr="00655F11">
          <w:rPr>
            <w:rStyle w:val="Hyperlink"/>
            <w:noProof/>
          </w:rPr>
          <w:t>4.</w:t>
        </w:r>
        <w:r w:rsidR="001A2C66">
          <w:rPr>
            <w:rFonts w:asciiTheme="minorHAnsi" w:eastAsiaTheme="minorEastAsia" w:hAnsiTheme="minorHAnsi" w:cstheme="minorBidi"/>
            <w:noProof/>
            <w:lang w:eastAsia="bg-BG"/>
          </w:rPr>
          <w:tab/>
        </w:r>
        <w:r w:rsidR="001A2C66" w:rsidRPr="00655F11">
          <w:rPr>
            <w:rStyle w:val="Hyperlink"/>
            <w:noProof/>
          </w:rPr>
          <w:t>Списък с програми за периода 2021-2027 г.</w:t>
        </w:r>
        <w:r w:rsidR="001A2C66">
          <w:rPr>
            <w:noProof/>
            <w:webHidden/>
          </w:rPr>
          <w:tab/>
        </w:r>
        <w:r w:rsidR="001A2C66">
          <w:rPr>
            <w:noProof/>
            <w:webHidden/>
          </w:rPr>
          <w:fldChar w:fldCharType="begin"/>
        </w:r>
        <w:r w:rsidR="001A2C66">
          <w:rPr>
            <w:noProof/>
            <w:webHidden/>
          </w:rPr>
          <w:instrText xml:space="preserve"> PAGEREF _Toc791841 \h </w:instrText>
        </w:r>
        <w:r w:rsidR="001A2C66">
          <w:rPr>
            <w:noProof/>
            <w:webHidden/>
          </w:rPr>
        </w:r>
        <w:r w:rsidR="001A2C66">
          <w:rPr>
            <w:noProof/>
            <w:webHidden/>
          </w:rPr>
          <w:fldChar w:fldCharType="separate"/>
        </w:r>
        <w:r w:rsidR="001A2C66">
          <w:rPr>
            <w:noProof/>
            <w:webHidden/>
          </w:rPr>
          <w:t>77</w:t>
        </w:r>
        <w:r w:rsidR="001A2C66">
          <w:rPr>
            <w:noProof/>
            <w:webHidden/>
          </w:rPr>
          <w:fldChar w:fldCharType="end"/>
        </w:r>
      </w:hyperlink>
    </w:p>
    <w:p w:rsidR="00AE0F90" w:rsidRDefault="00AE0F90" w:rsidP="00AE0F90">
      <w:r>
        <w:rPr>
          <w:b/>
          <w:bCs/>
          <w:noProof/>
        </w:rPr>
        <w:fldChar w:fldCharType="end"/>
      </w:r>
    </w:p>
    <w:p w:rsidR="00AE0F90" w:rsidRPr="00054F9D" w:rsidRDefault="00AE0F90" w:rsidP="00AE0F90">
      <w:pPr>
        <w:rPr>
          <w:rFonts w:ascii="Times New Roman" w:hAnsi="Times New Roman"/>
          <w:b/>
          <w:caps/>
          <w:lang w:val="en-US"/>
        </w:rPr>
      </w:pPr>
    </w:p>
    <w:p w:rsidR="00AE0F90" w:rsidRDefault="00AE0F90" w:rsidP="00AE0F90"/>
    <w:p w:rsidR="00AE0F90" w:rsidRPr="00A84FEC" w:rsidRDefault="00AE0F90" w:rsidP="00AE0F90">
      <w:pPr>
        <w:pStyle w:val="Heading1"/>
        <w:pageBreakBefore/>
        <w:numPr>
          <w:ilvl w:val="0"/>
          <w:numId w:val="16"/>
        </w:numPr>
        <w:ind w:left="714" w:hanging="357"/>
        <w:rPr>
          <w:color w:val="1F497D"/>
        </w:rPr>
      </w:pPr>
      <w:bookmarkStart w:id="1" w:name="_Toc525196961"/>
      <w:bookmarkStart w:id="2" w:name="_Toc791797"/>
      <w:r w:rsidRPr="00A84FEC">
        <w:rPr>
          <w:color w:val="1F497D"/>
        </w:rPr>
        <w:lastRenderedPageBreak/>
        <w:t>Външна среда и глобални предизвикателства</w:t>
      </w:r>
      <w:bookmarkEnd w:id="1"/>
      <w:bookmarkEnd w:id="2"/>
    </w:p>
    <w:p w:rsidR="00AE0F90" w:rsidRPr="00A84FEC" w:rsidRDefault="00AE0F90" w:rsidP="00AE0F90">
      <w:pPr>
        <w:jc w:val="both"/>
        <w:rPr>
          <w:rFonts w:ascii="Times New Roman" w:hAnsi="Times New Roman"/>
        </w:rPr>
      </w:pPr>
      <w:r w:rsidRPr="00A84FEC">
        <w:rPr>
          <w:rFonts w:ascii="Times New Roman" w:hAnsi="Times New Roman"/>
        </w:rPr>
        <w:t xml:space="preserve">Ключова предпоставка за развитие на устойчива конкурентоспособна икономика е капацитетът й да абсорбира външни шокове, да се адаптира бързо към промените в заобикалящата я среда и да се справя с предизвикателствата, възникващи в резултат на външни за нея сили и процеси. По-долу са систематизирани някои глобални тенденции и предизвикателства, които имат потенциала да предизвикат – или вече го правят – съществени промени в социално-икономическите отношения в глобален и/или регионален план. Анализът на външните фактори е необходим при изготвяне на стратегия на политиката за следващия програмен период, с оглед адаптирането й към тях и търсене на начини за смекчаване на въздействието </w:t>
      </w:r>
      <w:r>
        <w:rPr>
          <w:rFonts w:ascii="Times New Roman" w:hAnsi="Times New Roman"/>
        </w:rPr>
        <w:t>на</w:t>
      </w:r>
      <w:r w:rsidRPr="00A84FEC">
        <w:rPr>
          <w:rFonts w:ascii="Times New Roman" w:hAnsi="Times New Roman"/>
        </w:rPr>
        <w:t xml:space="preserve"> заплахите и/или за възползване от възможностите.</w:t>
      </w:r>
    </w:p>
    <w:p w:rsidR="00AE0F90" w:rsidRPr="00A84FEC" w:rsidRDefault="00AE0F90" w:rsidP="00AE0F90">
      <w:pPr>
        <w:pStyle w:val="Heading2"/>
        <w:numPr>
          <w:ilvl w:val="1"/>
          <w:numId w:val="16"/>
        </w:numPr>
        <w:rPr>
          <w:color w:val="1F497D"/>
        </w:rPr>
      </w:pPr>
      <w:bookmarkStart w:id="3" w:name="_Toc791798"/>
      <w:r w:rsidRPr="00A84FEC">
        <w:rPr>
          <w:color w:val="1F497D"/>
        </w:rPr>
        <w:t>Дигитална революция</w:t>
      </w:r>
      <w:bookmarkEnd w:id="3"/>
    </w:p>
    <w:p w:rsidR="00AE0F90" w:rsidRPr="00A84FEC" w:rsidRDefault="00AE0F90" w:rsidP="00AE0F90">
      <w:pPr>
        <w:jc w:val="both"/>
        <w:rPr>
          <w:rFonts w:ascii="Times New Roman" w:hAnsi="Times New Roman"/>
        </w:rPr>
      </w:pPr>
      <w:r w:rsidRPr="00A84FEC">
        <w:rPr>
          <w:rFonts w:ascii="Times New Roman" w:hAnsi="Times New Roman"/>
        </w:rPr>
        <w:t xml:space="preserve">Последните две десетилетия са период на интензивно развитие на информационното общество и дигиталната икономика, чиито движещи сили са електрониката и компютрите, знанията и комуникациите. Технологичните фактори въздействат пряко върху обществените процеси и взаимоотношения и променят всички области на съвременния живот. </w:t>
      </w:r>
      <w:r>
        <w:rPr>
          <w:rFonts w:ascii="Times New Roman" w:hAnsi="Times New Roman"/>
        </w:rPr>
        <w:t>Мащабът на промените дава основание на изследователите да наричат процеса „</w:t>
      </w:r>
      <w:r w:rsidRPr="005C14C4">
        <w:rPr>
          <w:rFonts w:ascii="Times New Roman" w:hAnsi="Times New Roman"/>
          <w:i/>
        </w:rPr>
        <w:t>четвърта индустриална революция</w:t>
      </w:r>
      <w:r>
        <w:rPr>
          <w:rFonts w:ascii="Times New Roman" w:hAnsi="Times New Roman"/>
        </w:rPr>
        <w:t xml:space="preserve">“. </w:t>
      </w:r>
      <w:r w:rsidRPr="00A84FEC">
        <w:rPr>
          <w:rFonts w:ascii="Times New Roman" w:hAnsi="Times New Roman"/>
        </w:rPr>
        <w:t xml:space="preserve">Глобалната свързаност и цифровите технологии ежедневно променят парадигмите, върху които </w:t>
      </w:r>
      <w:r>
        <w:rPr>
          <w:rFonts w:ascii="Times New Roman" w:hAnsi="Times New Roman"/>
        </w:rPr>
        <w:t>е изграден света</w:t>
      </w:r>
      <w:r w:rsidRPr="00A84FEC">
        <w:rPr>
          <w:rFonts w:ascii="Times New Roman" w:hAnsi="Times New Roman"/>
        </w:rPr>
        <w:t xml:space="preserve">. Всеки ден се появяват нови компании, които правят бизнес по нов и различен начин. </w:t>
      </w:r>
      <w:proofErr w:type="spellStart"/>
      <w:r w:rsidRPr="00A84FEC">
        <w:rPr>
          <w:rFonts w:ascii="Times New Roman" w:hAnsi="Times New Roman"/>
        </w:rPr>
        <w:t>Uber</w:t>
      </w:r>
      <w:proofErr w:type="spellEnd"/>
      <w:r w:rsidRPr="00A84FEC">
        <w:rPr>
          <w:rFonts w:ascii="Times New Roman" w:hAnsi="Times New Roman"/>
        </w:rPr>
        <w:t xml:space="preserve"> – най-голямата компания за пътнически превози в света – няма нито един собствен автомобил. </w:t>
      </w:r>
      <w:r>
        <w:rPr>
          <w:rFonts w:ascii="Times New Roman" w:hAnsi="Times New Roman"/>
        </w:rPr>
        <w:t>При това скоростта на развитие и завоюване на пазарни позиции от компаниите се отличава ярко от конвенционалната „</w:t>
      </w:r>
      <w:proofErr w:type="spellStart"/>
      <w:r w:rsidRPr="005C14C4">
        <w:rPr>
          <w:rFonts w:ascii="Times New Roman" w:hAnsi="Times New Roman"/>
          <w:i/>
        </w:rPr>
        <w:t>предицифрова</w:t>
      </w:r>
      <w:proofErr w:type="spellEnd"/>
      <w:r>
        <w:rPr>
          <w:rFonts w:ascii="Times New Roman" w:hAnsi="Times New Roman"/>
        </w:rPr>
        <w:t xml:space="preserve">“ икономика. </w:t>
      </w:r>
      <w:r w:rsidRPr="00A84FEC">
        <w:rPr>
          <w:rFonts w:ascii="Times New Roman" w:hAnsi="Times New Roman"/>
        </w:rPr>
        <w:t>Ако за типичните представители на 500-те най-големи американски компании в САЩ (</w:t>
      </w:r>
      <w:proofErr w:type="spellStart"/>
      <w:r w:rsidRPr="00A84FEC">
        <w:rPr>
          <w:rFonts w:ascii="Times New Roman" w:hAnsi="Times New Roman"/>
        </w:rPr>
        <w:t>Fortune</w:t>
      </w:r>
      <w:proofErr w:type="spellEnd"/>
      <w:r w:rsidRPr="00A84FEC">
        <w:rPr>
          <w:rFonts w:ascii="Times New Roman" w:hAnsi="Times New Roman"/>
        </w:rPr>
        <w:t xml:space="preserve"> 500) са били нужни 20 години за достига</w:t>
      </w:r>
      <w:r>
        <w:rPr>
          <w:rFonts w:ascii="Times New Roman" w:hAnsi="Times New Roman"/>
        </w:rPr>
        <w:t>не на</w:t>
      </w:r>
      <w:r w:rsidRPr="00A84FEC">
        <w:rPr>
          <w:rFonts w:ascii="Times New Roman" w:hAnsi="Times New Roman"/>
        </w:rPr>
        <w:t xml:space="preserve"> пазарна оценка от 1 млрд. долара, то </w:t>
      </w:r>
      <w:proofErr w:type="spellStart"/>
      <w:r w:rsidRPr="00A84FEC">
        <w:rPr>
          <w:rFonts w:ascii="Times New Roman" w:hAnsi="Times New Roman"/>
        </w:rPr>
        <w:t>Xiaomi</w:t>
      </w:r>
      <w:proofErr w:type="spellEnd"/>
      <w:r w:rsidRPr="00A84FEC">
        <w:rPr>
          <w:rFonts w:ascii="Times New Roman" w:hAnsi="Times New Roman"/>
        </w:rPr>
        <w:t xml:space="preserve"> и </w:t>
      </w:r>
      <w:proofErr w:type="spellStart"/>
      <w:r w:rsidRPr="00A84FEC">
        <w:rPr>
          <w:rFonts w:ascii="Times New Roman" w:hAnsi="Times New Roman"/>
        </w:rPr>
        <w:t>Snapchat</w:t>
      </w:r>
      <w:proofErr w:type="spellEnd"/>
      <w:r w:rsidRPr="00A84FEC">
        <w:rPr>
          <w:rFonts w:ascii="Times New Roman" w:hAnsi="Times New Roman"/>
        </w:rPr>
        <w:t xml:space="preserve"> успя</w:t>
      </w:r>
      <w:r>
        <w:rPr>
          <w:rFonts w:ascii="Times New Roman" w:hAnsi="Times New Roman"/>
        </w:rPr>
        <w:t>ват</w:t>
      </w:r>
      <w:r w:rsidRPr="00A84FEC">
        <w:rPr>
          <w:rFonts w:ascii="Times New Roman" w:hAnsi="Times New Roman"/>
        </w:rPr>
        <w:t xml:space="preserve"> да направят това само за 2</w:t>
      </w:r>
      <w:r>
        <w:rPr>
          <w:rFonts w:ascii="Times New Roman" w:hAnsi="Times New Roman"/>
        </w:rPr>
        <w:t xml:space="preserve"> години</w:t>
      </w:r>
      <w:r w:rsidRPr="00A84FEC">
        <w:rPr>
          <w:rFonts w:ascii="Times New Roman" w:hAnsi="Times New Roman"/>
        </w:rPr>
        <w:t>. „</w:t>
      </w:r>
      <w:r w:rsidRPr="00A84FEC">
        <w:rPr>
          <w:rFonts w:ascii="Times New Roman" w:hAnsi="Times New Roman"/>
          <w:i/>
        </w:rPr>
        <w:t>Интернет позволява на всеки – от всяко място, на всяка възраст и с всякакви умения – да стартира нов бизнес, да развива съществуващ, да стане предприемач, разработчик или създател на съдържание, да намери публика, за да сподели своята страст и да успява</w:t>
      </w:r>
      <w:r w:rsidRPr="00A84FEC">
        <w:rPr>
          <w:rFonts w:ascii="Times New Roman" w:hAnsi="Times New Roman"/>
        </w:rPr>
        <w:t>“</w:t>
      </w:r>
      <w:r>
        <w:rPr>
          <w:rStyle w:val="FootnoteReference"/>
          <w:rFonts w:ascii="Times New Roman" w:hAnsi="Times New Roman"/>
        </w:rPr>
        <w:footnoteReference w:id="1"/>
      </w:r>
      <w:r w:rsidRPr="00A84FEC">
        <w:rPr>
          <w:rFonts w:ascii="Times New Roman" w:hAnsi="Times New Roman"/>
        </w:rPr>
        <w:t xml:space="preserve">. </w:t>
      </w:r>
      <w:r w:rsidRPr="005C14C4">
        <w:rPr>
          <w:rFonts w:ascii="Times New Roman" w:hAnsi="Times New Roman"/>
        </w:rPr>
        <w:t>Нововъведенията в технологиите като интернет на нещата, комуникационни мрежи от пето поколение (5G), компютърни услуги в облак, анализ на данните и роботика, променят продуктите, процесите и бизнес моделите във всички сектори, като в крайна сметка създават нови отраслови структури, тъй като глобалните вериги на стойността се променят</w:t>
      </w:r>
      <w:r>
        <w:rPr>
          <w:rStyle w:val="FootnoteReference"/>
          <w:rFonts w:ascii="Times New Roman" w:hAnsi="Times New Roman"/>
        </w:rPr>
        <w:footnoteReference w:id="2"/>
      </w:r>
      <w:r w:rsidRPr="005C14C4">
        <w:rPr>
          <w:rFonts w:ascii="Times New Roman" w:hAnsi="Times New Roman"/>
        </w:rPr>
        <w:t>.</w:t>
      </w:r>
    </w:p>
    <w:p w:rsidR="00AE0F90" w:rsidRDefault="00AE0F90" w:rsidP="00AE0F90">
      <w:pPr>
        <w:jc w:val="both"/>
        <w:rPr>
          <w:rFonts w:ascii="Times New Roman" w:hAnsi="Times New Roman"/>
        </w:rPr>
      </w:pPr>
      <w:r>
        <w:rPr>
          <w:rFonts w:ascii="Times New Roman" w:hAnsi="Times New Roman"/>
        </w:rPr>
        <w:t>Глобалните процеси на ц</w:t>
      </w:r>
      <w:r w:rsidRPr="004231AE">
        <w:rPr>
          <w:rFonts w:ascii="Times New Roman" w:hAnsi="Times New Roman"/>
        </w:rPr>
        <w:t xml:space="preserve">ифрова </w:t>
      </w:r>
      <w:r>
        <w:rPr>
          <w:rFonts w:ascii="Times New Roman" w:hAnsi="Times New Roman"/>
        </w:rPr>
        <w:t>трансформация са едновременно заплаха и възможност за България. Ако страната остане встрани от глобалната тенденция или продължи да цифровизира икономиката си  с темповете, наблюдавани в последните години, рискува да увеличи изоставането си – в регионален и глобален план – по отношение на производителност на труда и жизнен стандарт, като влоши позициите си в глобалните вериги на стойността. Ако обаче бъдат предприети решителни стъпки в посока (</w:t>
      </w:r>
      <w:r>
        <w:rPr>
          <w:rFonts w:ascii="Times New Roman" w:hAnsi="Times New Roman"/>
          <w:lang w:val="en-US"/>
        </w:rPr>
        <w:t xml:space="preserve">i) </w:t>
      </w:r>
      <w:r>
        <w:rPr>
          <w:rFonts w:ascii="Times New Roman" w:hAnsi="Times New Roman"/>
        </w:rPr>
        <w:t xml:space="preserve">изграждане на необходимата цифрова инфраструктура, </w:t>
      </w:r>
      <w:r>
        <w:rPr>
          <w:rFonts w:ascii="Times New Roman" w:hAnsi="Times New Roman"/>
          <w:lang w:val="en-US"/>
        </w:rPr>
        <w:t xml:space="preserve">(ii) </w:t>
      </w:r>
      <w:r>
        <w:rPr>
          <w:rFonts w:ascii="Times New Roman" w:hAnsi="Times New Roman"/>
        </w:rPr>
        <w:t xml:space="preserve">масово предоставяне на възможности за изграждане на изискваните дигитални умения на населението, </w:t>
      </w:r>
      <w:r>
        <w:rPr>
          <w:rFonts w:ascii="Times New Roman" w:hAnsi="Times New Roman"/>
          <w:lang w:val="en-US"/>
        </w:rPr>
        <w:t xml:space="preserve">(iii) </w:t>
      </w:r>
      <w:r>
        <w:rPr>
          <w:rFonts w:ascii="Times New Roman" w:hAnsi="Times New Roman"/>
        </w:rPr>
        <w:t xml:space="preserve">преосмисляне на ролята на образователната система в условията на информационно общество, характеризиращо се с мигновен достъп до всякаква информация, </w:t>
      </w:r>
      <w:r>
        <w:rPr>
          <w:rFonts w:ascii="Times New Roman" w:hAnsi="Times New Roman"/>
          <w:lang w:val="en-US"/>
        </w:rPr>
        <w:t xml:space="preserve">(iv) </w:t>
      </w:r>
      <w:r>
        <w:rPr>
          <w:rFonts w:ascii="Times New Roman" w:hAnsi="Times New Roman"/>
        </w:rPr>
        <w:t xml:space="preserve">осигуряване на благоприятна среда за развитие на иновативни предприятия, </w:t>
      </w:r>
      <w:r>
        <w:rPr>
          <w:rFonts w:ascii="Times New Roman" w:hAnsi="Times New Roman"/>
          <w:lang w:val="en-US"/>
        </w:rPr>
        <w:t xml:space="preserve">(v) </w:t>
      </w:r>
      <w:r>
        <w:rPr>
          <w:rFonts w:ascii="Times New Roman" w:hAnsi="Times New Roman"/>
        </w:rPr>
        <w:t xml:space="preserve">насърчаване на дигитализирането на стопанската дейност и </w:t>
      </w:r>
      <w:r>
        <w:rPr>
          <w:rFonts w:ascii="Times New Roman" w:hAnsi="Times New Roman"/>
          <w:lang w:val="en-US"/>
        </w:rPr>
        <w:t xml:space="preserve">(vi) </w:t>
      </w:r>
      <w:r>
        <w:rPr>
          <w:rFonts w:ascii="Times New Roman" w:hAnsi="Times New Roman"/>
        </w:rPr>
        <w:t>ускоряване на въвеждането на електронно управление, страната има възможност да преодолее в обозрима перспектива изоставането си спрямо останалите държави – членки на ЕС в социално-икономически план, а защо не и да заеме водещи позиции в рамките на общността в по-дългосрочен хоризонт.</w:t>
      </w:r>
    </w:p>
    <w:p w:rsidR="00AE0F90" w:rsidRPr="00A309C1" w:rsidRDefault="00AE0F90" w:rsidP="00AE0F90">
      <w:pPr>
        <w:pStyle w:val="Heading2"/>
        <w:numPr>
          <w:ilvl w:val="1"/>
          <w:numId w:val="16"/>
        </w:numPr>
        <w:rPr>
          <w:color w:val="1F497D"/>
        </w:rPr>
      </w:pPr>
      <w:bookmarkStart w:id="4" w:name="_Toc791799"/>
      <w:r w:rsidRPr="00A309C1">
        <w:rPr>
          <w:color w:val="1F497D"/>
        </w:rPr>
        <w:lastRenderedPageBreak/>
        <w:t>Изменение на климата</w:t>
      </w:r>
      <w:bookmarkEnd w:id="4"/>
    </w:p>
    <w:p w:rsidR="00AE0F90" w:rsidRPr="00494768" w:rsidRDefault="00AE0F90" w:rsidP="00AE0F90">
      <w:pPr>
        <w:jc w:val="both"/>
        <w:rPr>
          <w:rFonts w:ascii="Times New Roman" w:hAnsi="Times New Roman"/>
        </w:rPr>
      </w:pPr>
      <w:r w:rsidRPr="00A84FEC">
        <w:rPr>
          <w:rFonts w:ascii="Times New Roman" w:hAnsi="Times New Roman"/>
        </w:rPr>
        <w:t>През последните 30 години, като последица от глобалното затопляне, се наблюдават значими климатични промени</w:t>
      </w:r>
      <w:r>
        <w:rPr>
          <w:rFonts w:ascii="Times New Roman" w:hAnsi="Times New Roman"/>
        </w:rPr>
        <w:t xml:space="preserve"> при достигане на</w:t>
      </w:r>
      <w:r w:rsidRPr="00A84FEC">
        <w:rPr>
          <w:rFonts w:ascii="Times New Roman" w:hAnsi="Times New Roman"/>
        </w:rPr>
        <w:t xml:space="preserve"> рекордни нива на някои климатични променливи</w:t>
      </w:r>
      <w:r>
        <w:rPr>
          <w:rFonts w:ascii="Times New Roman" w:hAnsi="Times New Roman"/>
        </w:rPr>
        <w:t>: т</w:t>
      </w:r>
      <w:r w:rsidRPr="00A84FEC">
        <w:rPr>
          <w:rFonts w:ascii="Times New Roman" w:hAnsi="Times New Roman"/>
        </w:rPr>
        <w:t>емповете на покачване на морското равнище се ускор</w:t>
      </w:r>
      <w:r>
        <w:rPr>
          <w:rFonts w:ascii="Times New Roman" w:hAnsi="Times New Roman"/>
        </w:rPr>
        <w:t>яват; т</w:t>
      </w:r>
      <w:r w:rsidRPr="00A84FEC">
        <w:rPr>
          <w:rFonts w:ascii="Times New Roman" w:hAnsi="Times New Roman"/>
        </w:rPr>
        <w:t>емпературите на сушата и в морето се повишават</w:t>
      </w:r>
      <w:r>
        <w:rPr>
          <w:rFonts w:ascii="Times New Roman" w:hAnsi="Times New Roman"/>
        </w:rPr>
        <w:t xml:space="preserve">; </w:t>
      </w:r>
      <w:r w:rsidRPr="00A84FEC">
        <w:rPr>
          <w:rFonts w:ascii="Times New Roman" w:hAnsi="Times New Roman"/>
        </w:rPr>
        <w:t xml:space="preserve">режимът на валежите се променя. Изменението на климата вече оказва въздействие върху здравето и благосъстоянието на </w:t>
      </w:r>
      <w:r>
        <w:rPr>
          <w:rFonts w:ascii="Times New Roman" w:hAnsi="Times New Roman"/>
        </w:rPr>
        <w:t>населението</w:t>
      </w:r>
      <w:r w:rsidRPr="00A84FEC">
        <w:rPr>
          <w:rFonts w:ascii="Times New Roman" w:hAnsi="Times New Roman"/>
        </w:rPr>
        <w:t xml:space="preserve">, екосистемите и икономическите сектори. България е сред най-уязвимите към изменението на климата държави </w:t>
      </w:r>
      <w:r>
        <w:rPr>
          <w:rFonts w:ascii="Times New Roman" w:hAnsi="Times New Roman"/>
        </w:rPr>
        <w:t xml:space="preserve">– </w:t>
      </w:r>
      <w:r w:rsidRPr="00A84FEC">
        <w:rPr>
          <w:rFonts w:ascii="Times New Roman" w:hAnsi="Times New Roman"/>
        </w:rPr>
        <w:t>членки</w:t>
      </w:r>
      <w:r>
        <w:rPr>
          <w:rFonts w:ascii="Times New Roman" w:hAnsi="Times New Roman"/>
        </w:rPr>
        <w:t xml:space="preserve"> </w:t>
      </w:r>
      <w:r w:rsidRPr="00A84FEC">
        <w:rPr>
          <w:rFonts w:ascii="Times New Roman" w:hAnsi="Times New Roman"/>
        </w:rPr>
        <w:t xml:space="preserve">на ЕС, поради значителните промени в хидрометеорологичните параметри. Очакванията в по-дългосрочен план са страната да бъде изправена пред сериозни </w:t>
      </w:r>
      <w:r>
        <w:rPr>
          <w:rFonts w:ascii="Times New Roman" w:hAnsi="Times New Roman"/>
        </w:rPr>
        <w:t xml:space="preserve">социално-икономически </w:t>
      </w:r>
      <w:r w:rsidRPr="00A84FEC">
        <w:rPr>
          <w:rFonts w:ascii="Times New Roman" w:hAnsi="Times New Roman"/>
        </w:rPr>
        <w:t>последствия, поради силната чувствителност на икономическите й сектори към климатичните изменения и техния понастоящем ограничен капацитет за адаптация.</w:t>
      </w:r>
      <w:r>
        <w:rPr>
          <w:rFonts w:ascii="Times New Roman" w:hAnsi="Times New Roman"/>
          <w:lang w:val="en-US"/>
        </w:rPr>
        <w:t xml:space="preserve"> </w:t>
      </w:r>
      <w:r>
        <w:rPr>
          <w:rFonts w:ascii="Times New Roman" w:hAnsi="Times New Roman"/>
        </w:rPr>
        <w:t>Световната банка</w:t>
      </w:r>
      <w:r>
        <w:rPr>
          <w:rStyle w:val="FootnoteReference"/>
          <w:rFonts w:ascii="Times New Roman" w:hAnsi="Times New Roman"/>
        </w:rPr>
        <w:footnoteReference w:id="3"/>
      </w:r>
      <w:r>
        <w:rPr>
          <w:rFonts w:ascii="Times New Roman" w:hAnsi="Times New Roman"/>
        </w:rPr>
        <w:t xml:space="preserve"> прогнозира измененията в климата да рефлектират в кумулативна загуба на реален брутен вътрешен продукт </w:t>
      </w:r>
      <w:r w:rsidRPr="002925F2">
        <w:rPr>
          <w:rFonts w:ascii="Times New Roman" w:hAnsi="Times New Roman"/>
        </w:rPr>
        <w:t>през 2050 г. между 1</w:t>
      </w:r>
      <w:r>
        <w:rPr>
          <w:rFonts w:ascii="Times New Roman" w:hAnsi="Times New Roman"/>
        </w:rPr>
        <w:t>%</w:t>
      </w:r>
      <w:r w:rsidRPr="002925F2">
        <w:rPr>
          <w:rFonts w:ascii="Times New Roman" w:hAnsi="Times New Roman"/>
        </w:rPr>
        <w:t xml:space="preserve"> и 3.5</w:t>
      </w:r>
      <w:r>
        <w:rPr>
          <w:rFonts w:ascii="Times New Roman" w:hAnsi="Times New Roman"/>
        </w:rPr>
        <w:t>%.</w:t>
      </w:r>
    </w:p>
    <w:p w:rsidR="00AE0F90" w:rsidRDefault="00AE0F90" w:rsidP="00AE0F90">
      <w:pPr>
        <w:jc w:val="both"/>
        <w:rPr>
          <w:rFonts w:ascii="Times New Roman" w:hAnsi="Times New Roman"/>
        </w:rPr>
      </w:pPr>
      <w:r>
        <w:rPr>
          <w:rFonts w:ascii="Times New Roman" w:hAnsi="Times New Roman"/>
        </w:rPr>
        <w:t>Изменението на климата е глобална тенденция, която е безспорна заплаха за страната. Това, което България може да направи в рамките на своята стратегия за следващия програмен период, е да предвиди – като хоризонтална политика във всички оперативни програми, съобразявайки се и с проекта на законодателно предложение по политиката за сближаване на ЕС – действия за смекчаване на и приспособяване към последиците от климатичните промени.</w:t>
      </w:r>
    </w:p>
    <w:p w:rsidR="00AE0F90" w:rsidRPr="0037094D" w:rsidRDefault="00AE0F90" w:rsidP="00AE0F90">
      <w:pPr>
        <w:pStyle w:val="Heading2"/>
        <w:numPr>
          <w:ilvl w:val="1"/>
          <w:numId w:val="16"/>
        </w:numPr>
        <w:rPr>
          <w:color w:val="1F497D"/>
        </w:rPr>
      </w:pPr>
      <w:bookmarkStart w:id="5" w:name="_Toc791800"/>
      <w:r w:rsidRPr="0037094D">
        <w:rPr>
          <w:color w:val="1F497D"/>
        </w:rPr>
        <w:t>Сигурност и миграция</w:t>
      </w:r>
      <w:bookmarkEnd w:id="5"/>
    </w:p>
    <w:p w:rsidR="00AE0F90" w:rsidRDefault="00AE0F90" w:rsidP="00AE0F90">
      <w:pPr>
        <w:jc w:val="both"/>
        <w:rPr>
          <w:rFonts w:ascii="Times New Roman" w:hAnsi="Times New Roman"/>
        </w:rPr>
      </w:pPr>
      <w:r>
        <w:rPr>
          <w:rFonts w:ascii="Times New Roman" w:hAnsi="Times New Roman"/>
        </w:rPr>
        <w:t xml:space="preserve">През последните няколко десетилетия се наблюдават значителни </w:t>
      </w:r>
      <w:r w:rsidRPr="00C149CC">
        <w:rPr>
          <w:rFonts w:ascii="Times New Roman" w:hAnsi="Times New Roman"/>
        </w:rPr>
        <w:t xml:space="preserve">миграционни потоци </w:t>
      </w:r>
      <w:r>
        <w:rPr>
          <w:rFonts w:ascii="Times New Roman" w:hAnsi="Times New Roman"/>
        </w:rPr>
        <w:t>към ЕС, основно по икономически причини, във връзка с по-високия жизнен стандарт в общността</w:t>
      </w:r>
      <w:r w:rsidRPr="00C149CC">
        <w:rPr>
          <w:rFonts w:ascii="Times New Roman" w:hAnsi="Times New Roman"/>
        </w:rPr>
        <w:t>.</w:t>
      </w:r>
      <w:r w:rsidRPr="001746B0">
        <w:rPr>
          <w:rFonts w:ascii="Times New Roman" w:hAnsi="Times New Roman"/>
        </w:rPr>
        <w:t xml:space="preserve"> </w:t>
      </w:r>
      <w:r>
        <w:rPr>
          <w:rFonts w:ascii="Times New Roman" w:hAnsi="Times New Roman"/>
        </w:rPr>
        <w:t>През последните години обаче този процес се интензифицира допълнително, в резултат на в</w:t>
      </w:r>
      <w:r w:rsidRPr="00C149CC">
        <w:rPr>
          <w:rFonts w:ascii="Times New Roman" w:hAnsi="Times New Roman"/>
        </w:rPr>
        <w:t xml:space="preserve">оенните конфликти в Близкия изток, Африка и Южна Азия, както и последвалите ги продължителни политически, икономически и хуманитарни кризи, </w:t>
      </w:r>
      <w:r>
        <w:rPr>
          <w:rFonts w:ascii="Times New Roman" w:hAnsi="Times New Roman"/>
        </w:rPr>
        <w:t>които водят до</w:t>
      </w:r>
      <w:r w:rsidRPr="00C149CC">
        <w:rPr>
          <w:rFonts w:ascii="Times New Roman" w:hAnsi="Times New Roman"/>
        </w:rPr>
        <w:t xml:space="preserve"> огромни бежански потоци, насочени към Европа.</w:t>
      </w:r>
      <w:r>
        <w:rPr>
          <w:rFonts w:ascii="Times New Roman" w:hAnsi="Times New Roman"/>
        </w:rPr>
        <w:t xml:space="preserve"> </w:t>
      </w:r>
      <w:r w:rsidRPr="00C149CC">
        <w:rPr>
          <w:rFonts w:ascii="Times New Roman" w:hAnsi="Times New Roman"/>
        </w:rPr>
        <w:t>Това превр</w:t>
      </w:r>
      <w:r>
        <w:rPr>
          <w:rFonts w:ascii="Times New Roman" w:hAnsi="Times New Roman"/>
        </w:rPr>
        <w:t>ъща</w:t>
      </w:r>
      <w:r w:rsidRPr="00C149CC">
        <w:rPr>
          <w:rFonts w:ascii="Times New Roman" w:hAnsi="Times New Roman"/>
        </w:rPr>
        <w:t xml:space="preserve"> бежанските кризи в един от основните проблеми, съпътстващи съвременното развитие на човечеството</w:t>
      </w:r>
      <w:r>
        <w:rPr>
          <w:rFonts w:ascii="Times New Roman" w:hAnsi="Times New Roman"/>
        </w:rPr>
        <w:t>, провокирайки</w:t>
      </w:r>
      <w:r w:rsidRPr="00C149CC">
        <w:rPr>
          <w:rFonts w:ascii="Times New Roman" w:hAnsi="Times New Roman"/>
        </w:rPr>
        <w:t xml:space="preserve"> Съветът за сигурност към ООН да премахне мандатността на Върховния комисариат на ООН по бежанците и да го удължи за неопределен срок, </w:t>
      </w:r>
      <w:r>
        <w:rPr>
          <w:rFonts w:ascii="Times New Roman" w:hAnsi="Times New Roman"/>
        </w:rPr>
        <w:t>„</w:t>
      </w:r>
      <w:r w:rsidRPr="00500D5E">
        <w:rPr>
          <w:rFonts w:ascii="Times New Roman" w:hAnsi="Times New Roman"/>
          <w:i/>
        </w:rPr>
        <w:t>докато се разреши проблемът с бежанците</w:t>
      </w:r>
      <w:r>
        <w:rPr>
          <w:rFonts w:ascii="Times New Roman" w:hAnsi="Times New Roman"/>
        </w:rPr>
        <w:t>“</w:t>
      </w:r>
      <w:r w:rsidRPr="00C149CC">
        <w:rPr>
          <w:rFonts w:ascii="Times New Roman" w:hAnsi="Times New Roman"/>
        </w:rPr>
        <w:t>.</w:t>
      </w:r>
      <w:r w:rsidRPr="002F0D42">
        <w:rPr>
          <w:rFonts w:ascii="Times New Roman" w:hAnsi="Times New Roman"/>
        </w:rPr>
        <w:t xml:space="preserve"> В условия на ескалация на терористичната заплаха в глобален и регионален контекст</w:t>
      </w:r>
      <w:r>
        <w:rPr>
          <w:rFonts w:ascii="Times New Roman" w:hAnsi="Times New Roman"/>
        </w:rPr>
        <w:t xml:space="preserve"> след </w:t>
      </w:r>
      <w:r w:rsidRPr="002F0D42">
        <w:rPr>
          <w:rFonts w:ascii="Times New Roman" w:hAnsi="Times New Roman"/>
        </w:rPr>
        <w:t>атаките от 11 септември 2001 г</w:t>
      </w:r>
      <w:r>
        <w:rPr>
          <w:rFonts w:ascii="Times New Roman" w:hAnsi="Times New Roman"/>
        </w:rPr>
        <w:t>.,</w:t>
      </w:r>
      <w:r w:rsidRPr="002F0D42">
        <w:rPr>
          <w:rFonts w:ascii="Times New Roman" w:hAnsi="Times New Roman"/>
        </w:rPr>
        <w:t xml:space="preserve"> </w:t>
      </w:r>
      <w:r>
        <w:rPr>
          <w:rFonts w:ascii="Times New Roman" w:hAnsi="Times New Roman"/>
        </w:rPr>
        <w:t xml:space="preserve">масовите бежански потоци и </w:t>
      </w:r>
      <w:proofErr w:type="spellStart"/>
      <w:r>
        <w:rPr>
          <w:rFonts w:ascii="Times New Roman" w:hAnsi="Times New Roman"/>
        </w:rPr>
        <w:t>мигрантски</w:t>
      </w:r>
      <w:proofErr w:type="spellEnd"/>
      <w:r>
        <w:rPr>
          <w:rFonts w:ascii="Times New Roman" w:hAnsi="Times New Roman"/>
        </w:rPr>
        <w:t xml:space="preserve"> натиск пораждат съпротива в населението на държавите – членки на ЕС срещу продължаващата политика на „</w:t>
      </w:r>
      <w:r w:rsidRPr="002F0D42">
        <w:rPr>
          <w:rFonts w:ascii="Times New Roman" w:hAnsi="Times New Roman"/>
          <w:i/>
        </w:rPr>
        <w:t>отворени врати</w:t>
      </w:r>
      <w:r>
        <w:rPr>
          <w:rFonts w:ascii="Times New Roman" w:hAnsi="Times New Roman"/>
        </w:rPr>
        <w:t xml:space="preserve">“. ЕС се оказва неподготвен за справяне със създалата се ситуация, а липсата на единна общоевропейска позиция не позволява своевременно справяне с проблема. </w:t>
      </w:r>
    </w:p>
    <w:p w:rsidR="00AE0F90" w:rsidRDefault="00AE0F90" w:rsidP="00AE0F90">
      <w:pPr>
        <w:jc w:val="both"/>
        <w:rPr>
          <w:rFonts w:ascii="Times New Roman" w:hAnsi="Times New Roman"/>
        </w:rPr>
      </w:pPr>
      <w:r w:rsidRPr="00C149CC">
        <w:rPr>
          <w:rFonts w:ascii="Times New Roman" w:hAnsi="Times New Roman"/>
        </w:rPr>
        <w:t>Поради заеманото географско положение границите на България с</w:t>
      </w:r>
      <w:r>
        <w:rPr>
          <w:rFonts w:ascii="Times New Roman" w:hAnsi="Times New Roman"/>
        </w:rPr>
        <w:t>а и</w:t>
      </w:r>
      <w:r w:rsidRPr="00C149CC">
        <w:rPr>
          <w:rFonts w:ascii="Times New Roman" w:hAnsi="Times New Roman"/>
        </w:rPr>
        <w:t xml:space="preserve"> външни граници на </w:t>
      </w:r>
      <w:r>
        <w:rPr>
          <w:rFonts w:ascii="Times New Roman" w:hAnsi="Times New Roman"/>
        </w:rPr>
        <w:t>ЕС</w:t>
      </w:r>
      <w:r w:rsidRPr="00C149CC">
        <w:rPr>
          <w:rFonts w:ascii="Times New Roman" w:hAnsi="Times New Roman"/>
        </w:rPr>
        <w:t>, поради което неизбежно се превр</w:t>
      </w:r>
      <w:r>
        <w:rPr>
          <w:rFonts w:ascii="Times New Roman" w:hAnsi="Times New Roman"/>
        </w:rPr>
        <w:t>ъщат</w:t>
      </w:r>
      <w:r w:rsidRPr="00C149CC">
        <w:rPr>
          <w:rFonts w:ascii="Times New Roman" w:hAnsi="Times New Roman"/>
        </w:rPr>
        <w:t xml:space="preserve"> в обект на множество транзитни, миграционни, контрабандни и криминални потоци. </w:t>
      </w:r>
      <w:r>
        <w:rPr>
          <w:rFonts w:ascii="Times New Roman" w:hAnsi="Times New Roman"/>
        </w:rPr>
        <w:t xml:space="preserve">Въпреки че </w:t>
      </w:r>
      <w:r w:rsidRPr="007B7B0A">
        <w:rPr>
          <w:rFonts w:ascii="Times New Roman" w:hAnsi="Times New Roman"/>
        </w:rPr>
        <w:t xml:space="preserve">Световният индекс на мира </w:t>
      </w:r>
      <w:r>
        <w:rPr>
          <w:rFonts w:ascii="Times New Roman" w:hAnsi="Times New Roman"/>
        </w:rPr>
        <w:t>поставя България на относително благоприятна позиция</w:t>
      </w:r>
      <w:r>
        <w:rPr>
          <w:rStyle w:val="FootnoteReference"/>
          <w:rFonts w:ascii="Times New Roman" w:hAnsi="Times New Roman"/>
        </w:rPr>
        <w:footnoteReference w:id="4"/>
      </w:r>
      <w:r>
        <w:rPr>
          <w:rFonts w:ascii="Times New Roman" w:hAnsi="Times New Roman"/>
        </w:rPr>
        <w:t>, б</w:t>
      </w:r>
      <w:r w:rsidRPr="00C149CC">
        <w:rPr>
          <w:rFonts w:ascii="Times New Roman" w:hAnsi="Times New Roman"/>
        </w:rPr>
        <w:t>лизостта на страната до „</w:t>
      </w:r>
      <w:r w:rsidRPr="00BB5DD8">
        <w:rPr>
          <w:rFonts w:ascii="Times New Roman" w:hAnsi="Times New Roman"/>
          <w:i/>
        </w:rPr>
        <w:t>горещите</w:t>
      </w:r>
      <w:r w:rsidRPr="00C149CC">
        <w:rPr>
          <w:rFonts w:ascii="Times New Roman" w:hAnsi="Times New Roman"/>
        </w:rPr>
        <w:t>“ точки на конфликти засил</w:t>
      </w:r>
      <w:r>
        <w:rPr>
          <w:rFonts w:ascii="Times New Roman" w:hAnsi="Times New Roman"/>
        </w:rPr>
        <w:t>ва</w:t>
      </w:r>
      <w:r w:rsidRPr="00C149CC">
        <w:rPr>
          <w:rFonts w:ascii="Times New Roman" w:hAnsi="Times New Roman"/>
        </w:rPr>
        <w:t xml:space="preserve"> рисковете и заплахите пред системата за националната сигурност.</w:t>
      </w:r>
      <w:r>
        <w:rPr>
          <w:rFonts w:ascii="Times New Roman" w:hAnsi="Times New Roman"/>
        </w:rPr>
        <w:t xml:space="preserve"> По високите рискове, от своя страна, намаляват привлекателността на страната като инвестиционна дестинация, а се отразяват пряко и на икономическата активност в някои сектори на икономиката, например туризма.</w:t>
      </w:r>
    </w:p>
    <w:p w:rsidR="00AE0F90" w:rsidRPr="00C149CC" w:rsidRDefault="00AE0F90" w:rsidP="00AE0F90">
      <w:pPr>
        <w:jc w:val="both"/>
        <w:rPr>
          <w:rFonts w:ascii="Times New Roman" w:hAnsi="Times New Roman"/>
        </w:rPr>
      </w:pPr>
      <w:r>
        <w:rPr>
          <w:rFonts w:ascii="Times New Roman" w:hAnsi="Times New Roman"/>
        </w:rPr>
        <w:t xml:space="preserve">ЕС е в процес на изграждане на общ отбранителен механизъм, при съществено увеличаване на разходите от бюджета на общността в това отношение през следващия програмен период. Налице е обаче необходимост от значително увеличаване на разходите за отбрана и сигурност и от държавите </w:t>
      </w:r>
      <w:r>
        <w:rPr>
          <w:rFonts w:ascii="Times New Roman" w:hAnsi="Times New Roman"/>
        </w:rPr>
        <w:lastRenderedPageBreak/>
        <w:t>членки. При равни други условия, последното ще ограничи разполагаемите публични средства в страната, които могат да бъдат използвани за финансиране на политики, насочени към развитието на социалните и икономическите системи.</w:t>
      </w:r>
    </w:p>
    <w:p w:rsidR="00AE0F90" w:rsidRDefault="00AE0F90" w:rsidP="00AE0F90">
      <w:pPr>
        <w:rPr>
          <w:rFonts w:ascii="Times New Roman" w:hAnsi="Times New Roman"/>
        </w:rPr>
      </w:pPr>
    </w:p>
    <w:p w:rsidR="00AE0F90" w:rsidRDefault="00AE0F90" w:rsidP="00AE0F90">
      <w:pPr>
        <w:rPr>
          <w:rFonts w:ascii="Times New Roman" w:hAnsi="Times New Roman"/>
        </w:rPr>
      </w:pPr>
    </w:p>
    <w:p w:rsidR="00AE0F90" w:rsidRPr="00F203B6" w:rsidRDefault="00AE0F90" w:rsidP="00AE0F90">
      <w:pPr>
        <w:pStyle w:val="Heading1"/>
        <w:pageBreakBefore/>
        <w:numPr>
          <w:ilvl w:val="0"/>
          <w:numId w:val="16"/>
        </w:numPr>
        <w:ind w:left="714" w:hanging="357"/>
        <w:rPr>
          <w:color w:val="1F497D"/>
        </w:rPr>
      </w:pPr>
      <w:bookmarkStart w:id="6" w:name="_Toc525196962"/>
      <w:bookmarkStart w:id="7" w:name="_Toc791802"/>
      <w:r w:rsidRPr="00F203B6">
        <w:rPr>
          <w:color w:val="1F497D"/>
        </w:rPr>
        <w:lastRenderedPageBreak/>
        <w:t>Основни проблеми в социално-икономическото развитие и идентифициран потенциал</w:t>
      </w:r>
      <w:bookmarkEnd w:id="6"/>
      <w:bookmarkEnd w:id="7"/>
    </w:p>
    <w:p w:rsidR="00AE0F90" w:rsidRDefault="00AE0F90" w:rsidP="00AE0F90">
      <w:pPr>
        <w:rPr>
          <w:rFonts w:ascii="Times New Roman" w:hAnsi="Times New Roman"/>
        </w:rPr>
      </w:pPr>
    </w:p>
    <w:p w:rsidR="00AE0F90" w:rsidRPr="00B5343F" w:rsidRDefault="00AE0F90" w:rsidP="00AE0F90">
      <w:pPr>
        <w:pStyle w:val="Heading2"/>
        <w:numPr>
          <w:ilvl w:val="1"/>
          <w:numId w:val="16"/>
        </w:numPr>
        <w:rPr>
          <w:color w:val="1F497D"/>
        </w:rPr>
      </w:pPr>
      <w:bookmarkStart w:id="8" w:name="_Toc525196963"/>
      <w:bookmarkStart w:id="9" w:name="_Toc791803"/>
      <w:r w:rsidRPr="00B5343F">
        <w:rPr>
          <w:color w:val="1F497D"/>
        </w:rPr>
        <w:t>Макроикономическа среда</w:t>
      </w:r>
      <w:bookmarkEnd w:id="8"/>
      <w:bookmarkEnd w:id="9"/>
    </w:p>
    <w:p w:rsidR="00AE0F90" w:rsidRPr="00192AB4" w:rsidRDefault="00AE0F90" w:rsidP="00AE0F90">
      <w:pPr>
        <w:jc w:val="both"/>
        <w:rPr>
          <w:rFonts w:ascii="Times New Roman" w:hAnsi="Times New Roman"/>
          <w:i/>
        </w:rPr>
      </w:pPr>
      <w:r>
        <w:rPr>
          <w:rFonts w:ascii="Times New Roman" w:hAnsi="Times New Roman"/>
          <w:i/>
        </w:rPr>
        <w:t xml:space="preserve">През последните десет години </w:t>
      </w:r>
      <w:r w:rsidRPr="00192AB4">
        <w:rPr>
          <w:rFonts w:ascii="Times New Roman" w:hAnsi="Times New Roman"/>
          <w:i/>
        </w:rPr>
        <w:t>Българ</w:t>
      </w:r>
      <w:r>
        <w:rPr>
          <w:rFonts w:ascii="Times New Roman" w:hAnsi="Times New Roman"/>
          <w:i/>
        </w:rPr>
        <w:t>и</w:t>
      </w:r>
      <w:r w:rsidRPr="00192AB4">
        <w:rPr>
          <w:rFonts w:ascii="Times New Roman" w:hAnsi="Times New Roman"/>
          <w:i/>
        </w:rPr>
        <w:t xml:space="preserve">я запазва и засилва едно от основните си конкурентни предимства – стабилната и предвидима макроикономическа среда. </w:t>
      </w:r>
      <w:r>
        <w:rPr>
          <w:rFonts w:ascii="Times New Roman" w:hAnsi="Times New Roman"/>
          <w:i/>
        </w:rPr>
        <w:t xml:space="preserve">Правителството </w:t>
      </w:r>
      <w:r w:rsidRPr="00192AB4">
        <w:rPr>
          <w:rFonts w:ascii="Times New Roman" w:hAnsi="Times New Roman"/>
          <w:i/>
        </w:rPr>
        <w:t>провежда благоразумна и консервативна фискална политика</w:t>
      </w:r>
      <w:r>
        <w:rPr>
          <w:rFonts w:ascii="Times New Roman" w:hAnsi="Times New Roman"/>
          <w:i/>
        </w:rPr>
        <w:t xml:space="preserve">, при относително малка – за стандартите в ЕС – степен на вмешателство на държавата в икономическия живот. </w:t>
      </w:r>
      <w:r w:rsidRPr="007E5384">
        <w:rPr>
          <w:rFonts w:ascii="Times New Roman" w:hAnsi="Times New Roman"/>
          <w:i/>
        </w:rPr>
        <w:t>Ценовото</w:t>
      </w:r>
      <w:r>
        <w:rPr>
          <w:rFonts w:ascii="Times New Roman" w:hAnsi="Times New Roman"/>
          <w:i/>
        </w:rPr>
        <w:t xml:space="preserve"> </w:t>
      </w:r>
      <w:r w:rsidRPr="007E5384">
        <w:rPr>
          <w:rFonts w:ascii="Times New Roman" w:hAnsi="Times New Roman"/>
          <w:i/>
        </w:rPr>
        <w:t>равнище в страната проявява относителна стабилност</w:t>
      </w:r>
      <w:r>
        <w:rPr>
          <w:rFonts w:ascii="Times New Roman" w:hAnsi="Times New Roman"/>
          <w:i/>
        </w:rPr>
        <w:t xml:space="preserve">, увеличавайки обаче необходимостта от догонване на ЕС в това отношение. </w:t>
      </w:r>
      <w:r w:rsidRPr="007E5384">
        <w:rPr>
          <w:rFonts w:ascii="Times New Roman" w:hAnsi="Times New Roman"/>
          <w:i/>
        </w:rPr>
        <w:t>Валутният борд продължава да бъде фактор на стабилност</w:t>
      </w:r>
      <w:r>
        <w:rPr>
          <w:rFonts w:ascii="Times New Roman" w:hAnsi="Times New Roman"/>
          <w:i/>
        </w:rPr>
        <w:t>, валутните резерви нарастват устойчиво</w:t>
      </w:r>
      <w:r w:rsidRPr="007E5384">
        <w:rPr>
          <w:rFonts w:ascii="Times New Roman" w:hAnsi="Times New Roman"/>
          <w:i/>
        </w:rPr>
        <w:t>.</w:t>
      </w:r>
      <w:r>
        <w:rPr>
          <w:rFonts w:ascii="Times New Roman" w:hAnsi="Times New Roman"/>
          <w:i/>
        </w:rPr>
        <w:t xml:space="preserve"> Възстановяването от г</w:t>
      </w:r>
      <w:r w:rsidRPr="00192AB4">
        <w:rPr>
          <w:rFonts w:ascii="Times New Roman" w:hAnsi="Times New Roman"/>
          <w:i/>
        </w:rPr>
        <w:t>лобалната икономическа криза</w:t>
      </w:r>
      <w:r>
        <w:rPr>
          <w:rFonts w:ascii="Times New Roman" w:hAnsi="Times New Roman"/>
          <w:i/>
        </w:rPr>
        <w:t xml:space="preserve"> протича при елиминиране на някои макроикономически дисбаланси – хроничният дефицит по текущата сметка на платежния баланс е преодолян. Износът се превръща в основен двигател на растежа. Съществен резерв за ускоряване на растежа и конвергенцията се крие във все още подтиснатата инвестиционна активност, въпреки наблюдаваните позитивни ефекти от предприети действия за премахване на инвестиционните бариери. Важна роля в това отношение се очаква да има и навлизането на оперативните програми в по-„зряла“ фаза. България продължава </w:t>
      </w:r>
      <w:r w:rsidRPr="00EA32C9">
        <w:rPr>
          <w:rFonts w:ascii="Times New Roman" w:hAnsi="Times New Roman"/>
          <w:i/>
        </w:rPr>
        <w:t>процеса на конвергенция с равнищата на доходите в ЕС, макар и с относително бавни темпове</w:t>
      </w:r>
      <w:r>
        <w:rPr>
          <w:rFonts w:ascii="Times New Roman" w:hAnsi="Times New Roman"/>
          <w:i/>
        </w:rPr>
        <w:t>.</w:t>
      </w:r>
    </w:p>
    <w:p w:rsidR="00AE0F90" w:rsidRDefault="00AE0F90" w:rsidP="00AE0F90">
      <w:pPr>
        <w:jc w:val="both"/>
        <w:rPr>
          <w:rFonts w:ascii="Times New Roman" w:hAnsi="Times New Roman"/>
        </w:rPr>
      </w:pPr>
      <w:r w:rsidRPr="00B61FAC">
        <w:rPr>
          <w:rFonts w:ascii="Times New Roman" w:hAnsi="Times New Roman"/>
        </w:rPr>
        <w:t xml:space="preserve">Бурното икономическо развитие на страната </w:t>
      </w:r>
      <w:r>
        <w:rPr>
          <w:rFonts w:ascii="Times New Roman" w:hAnsi="Times New Roman"/>
        </w:rPr>
        <w:t>от</w:t>
      </w:r>
      <w:r w:rsidRPr="00B61FAC">
        <w:rPr>
          <w:rFonts w:ascii="Times New Roman" w:hAnsi="Times New Roman"/>
        </w:rPr>
        <w:t xml:space="preserve"> годините след началото на новото хилядолетие </w:t>
      </w:r>
      <w:r>
        <w:rPr>
          <w:rFonts w:ascii="Times New Roman" w:hAnsi="Times New Roman"/>
        </w:rPr>
        <w:t xml:space="preserve">продължава и в първите години след присъединяването на страната към Европейския съюз (ЕС). В периода 2007-2008 г. </w:t>
      </w:r>
      <w:r w:rsidRPr="000769B8">
        <w:rPr>
          <w:rFonts w:ascii="Times New Roman" w:hAnsi="Times New Roman"/>
          <w:b/>
          <w:color w:val="4F81BD"/>
        </w:rPr>
        <w:t>икономическият растеж</w:t>
      </w:r>
      <w:r>
        <w:rPr>
          <w:rFonts w:ascii="Times New Roman" w:hAnsi="Times New Roman"/>
        </w:rPr>
        <w:t xml:space="preserve"> достига 6.7%</w:t>
      </w:r>
      <w:r>
        <w:rPr>
          <w:rStyle w:val="FootnoteReference"/>
          <w:rFonts w:ascii="Times New Roman" w:hAnsi="Times New Roman"/>
        </w:rPr>
        <w:footnoteReference w:id="5"/>
      </w:r>
      <w:r>
        <w:rPr>
          <w:rFonts w:ascii="Times New Roman" w:hAnsi="Times New Roman"/>
        </w:rPr>
        <w:t xml:space="preserve"> средногодишно, отбелязвайки ускорение спрямо средногодишното нарастване от 5.8%, регистрирано в периода 2000-2006 г. Икономиката на страната капитализира </w:t>
      </w:r>
      <w:r w:rsidRPr="000A385E">
        <w:rPr>
          <w:rFonts w:ascii="Times New Roman" w:hAnsi="Times New Roman"/>
        </w:rPr>
        <w:t xml:space="preserve">поредицата реформи, осъществени </w:t>
      </w:r>
      <w:r>
        <w:rPr>
          <w:rFonts w:ascii="Times New Roman" w:hAnsi="Times New Roman"/>
        </w:rPr>
        <w:t xml:space="preserve">в предприсъединителния период, </w:t>
      </w:r>
      <w:r w:rsidRPr="000A385E">
        <w:rPr>
          <w:rFonts w:ascii="Times New Roman" w:hAnsi="Times New Roman"/>
        </w:rPr>
        <w:t xml:space="preserve">които подобряват институционалната рамка </w:t>
      </w:r>
      <w:r>
        <w:rPr>
          <w:rFonts w:ascii="Times New Roman" w:hAnsi="Times New Roman"/>
        </w:rPr>
        <w:t>и</w:t>
      </w:r>
      <w:r w:rsidRPr="000A385E">
        <w:rPr>
          <w:rFonts w:ascii="Times New Roman" w:hAnsi="Times New Roman"/>
        </w:rPr>
        <w:t xml:space="preserve"> създава</w:t>
      </w:r>
      <w:r>
        <w:rPr>
          <w:rFonts w:ascii="Times New Roman" w:hAnsi="Times New Roman"/>
        </w:rPr>
        <w:t xml:space="preserve">т </w:t>
      </w:r>
      <w:r w:rsidRPr="000A385E">
        <w:rPr>
          <w:rFonts w:ascii="Times New Roman" w:hAnsi="Times New Roman"/>
        </w:rPr>
        <w:t>условия за повишаване на ефективността.</w:t>
      </w:r>
      <w:r>
        <w:rPr>
          <w:rFonts w:ascii="Times New Roman" w:hAnsi="Times New Roman"/>
        </w:rPr>
        <w:t xml:space="preserve"> Ентусиазирани от присъединяването към Единния пазар, инвеститорите допълнително увеличават своята активност и инвестициите в икономиката достигат 35.3%</w:t>
      </w:r>
      <w:r>
        <w:rPr>
          <w:rStyle w:val="FootnoteReference"/>
          <w:rFonts w:ascii="Times New Roman" w:hAnsi="Times New Roman"/>
        </w:rPr>
        <w:footnoteReference w:id="6"/>
      </w:r>
      <w:r>
        <w:rPr>
          <w:rFonts w:ascii="Times New Roman" w:hAnsi="Times New Roman"/>
        </w:rPr>
        <w:t xml:space="preserve"> от БВП, а привлечените чужди инвестиции възлизат на 23%</w:t>
      </w:r>
      <w:r>
        <w:rPr>
          <w:rStyle w:val="FootnoteReference"/>
          <w:rFonts w:ascii="Times New Roman" w:hAnsi="Times New Roman"/>
        </w:rPr>
        <w:footnoteReference w:id="7"/>
      </w:r>
      <w:r>
        <w:rPr>
          <w:rFonts w:ascii="Times New Roman" w:hAnsi="Times New Roman"/>
        </w:rPr>
        <w:t xml:space="preserve"> от БВП. Експанзията на вътрешното търсене се подхранва допълнително и от частното потребление, което нараства с двуцифрени темпове през 2007 г., положително повлияно от рекордно високата заетост (и съответно </w:t>
      </w:r>
      <w:r>
        <w:rPr>
          <w:rFonts w:ascii="Times New Roman" w:hAnsi="Times New Roman"/>
          <w:lang w:val="en-US"/>
        </w:rPr>
        <w:t xml:space="preserve">– </w:t>
      </w:r>
      <w:r>
        <w:rPr>
          <w:rFonts w:ascii="Times New Roman" w:hAnsi="Times New Roman"/>
        </w:rPr>
        <w:t>рекордно</w:t>
      </w:r>
      <w:r>
        <w:rPr>
          <w:rFonts w:ascii="Times New Roman" w:hAnsi="Times New Roman"/>
          <w:lang w:val="en-US"/>
        </w:rPr>
        <w:t xml:space="preserve"> </w:t>
      </w:r>
      <w:r>
        <w:rPr>
          <w:rFonts w:ascii="Times New Roman" w:hAnsi="Times New Roman"/>
        </w:rPr>
        <w:t>ниската безработица) и ръста на доходите. Дефицитът по текущата сметка на платежния баланс достига 23.9%</w:t>
      </w:r>
      <w:r>
        <w:rPr>
          <w:rStyle w:val="FootnoteReference"/>
          <w:rFonts w:ascii="Times New Roman" w:hAnsi="Times New Roman"/>
        </w:rPr>
        <w:footnoteReference w:id="8"/>
      </w:r>
      <w:r>
        <w:rPr>
          <w:rFonts w:ascii="Times New Roman" w:hAnsi="Times New Roman"/>
        </w:rPr>
        <w:t xml:space="preserve"> от БВП, а инфлацията се ускорява до 12% в края на 2007 г. Налице са всички симптоми на класическо прегряване на икономиката, което </w:t>
      </w:r>
      <w:r w:rsidRPr="00B61FAC">
        <w:rPr>
          <w:rFonts w:ascii="Times New Roman" w:hAnsi="Times New Roman"/>
        </w:rPr>
        <w:t xml:space="preserve">е </w:t>
      </w:r>
      <w:r>
        <w:rPr>
          <w:rFonts w:ascii="Times New Roman" w:hAnsi="Times New Roman"/>
        </w:rPr>
        <w:t xml:space="preserve">преустановено от </w:t>
      </w:r>
      <w:r w:rsidRPr="00B61FAC">
        <w:rPr>
          <w:rFonts w:ascii="Times New Roman" w:hAnsi="Times New Roman"/>
        </w:rPr>
        <w:t>глобалната икономическа криза</w:t>
      </w:r>
      <w:r>
        <w:rPr>
          <w:rFonts w:ascii="Times New Roman" w:hAnsi="Times New Roman"/>
        </w:rPr>
        <w:t xml:space="preserve">, която – макар и с известно закъснение – засяга страната. Икономическият спад през 2009 г. е последван от продължителен период на мудно икономическо възстановяване, в който растежът на икономиката не преминава границата от 2%. Едва след 2014 г. икономическият растеж се ускорява, макар и оставайки далеч под нивата, наблюдавани преди кризата. </w:t>
      </w:r>
      <w:r w:rsidRPr="00692A63">
        <w:rPr>
          <w:rFonts w:ascii="Times New Roman" w:hAnsi="Times New Roman"/>
        </w:rPr>
        <w:t>По този начин страната продължава процеса на конвергенция с равнищата на доходите в ЕС, макар и с относително бавни темпове. Брутният вътрешен продукт на глава от населението достига 4</w:t>
      </w:r>
      <w:r>
        <w:rPr>
          <w:rFonts w:ascii="Times New Roman" w:hAnsi="Times New Roman"/>
        </w:rPr>
        <w:t>9.2</w:t>
      </w:r>
      <w:r w:rsidRPr="00692A63">
        <w:rPr>
          <w:rFonts w:ascii="Times New Roman" w:hAnsi="Times New Roman"/>
        </w:rPr>
        <w:t>% от средното за ЕС ниво през 201</w:t>
      </w:r>
      <w:r>
        <w:rPr>
          <w:rFonts w:ascii="Times New Roman" w:hAnsi="Times New Roman"/>
        </w:rPr>
        <w:t>7 </w:t>
      </w:r>
      <w:r w:rsidRPr="00692A63">
        <w:rPr>
          <w:rFonts w:ascii="Times New Roman" w:hAnsi="Times New Roman"/>
        </w:rPr>
        <w:t xml:space="preserve">г., като отбелязва нарастване от </w:t>
      </w:r>
      <w:r>
        <w:rPr>
          <w:rFonts w:ascii="Times New Roman" w:hAnsi="Times New Roman"/>
        </w:rPr>
        <w:t>почти 10</w:t>
      </w:r>
      <w:r w:rsidRPr="00692A63">
        <w:rPr>
          <w:rFonts w:ascii="Times New Roman" w:hAnsi="Times New Roman"/>
        </w:rPr>
        <w:t xml:space="preserve"> процентни пункта спрямо 20</w:t>
      </w:r>
      <w:r>
        <w:rPr>
          <w:rFonts w:ascii="Times New Roman" w:hAnsi="Times New Roman"/>
        </w:rPr>
        <w:t>07</w:t>
      </w:r>
      <w:r w:rsidRPr="00692A63">
        <w:rPr>
          <w:rFonts w:ascii="Times New Roman" w:hAnsi="Times New Roman"/>
        </w:rPr>
        <w:t xml:space="preserve"> г.</w:t>
      </w:r>
    </w:p>
    <w:p w:rsidR="00AE0F90" w:rsidRDefault="00AE0F90" w:rsidP="00AE0F90">
      <w:pPr>
        <w:jc w:val="both"/>
        <w:rPr>
          <w:rFonts w:ascii="Times New Roman" w:hAnsi="Times New Roman"/>
        </w:rPr>
      </w:pPr>
    </w:p>
    <w:p w:rsidR="00AE0F90" w:rsidRDefault="00AE0F90" w:rsidP="00AE0F90">
      <w:pPr>
        <w:jc w:val="both"/>
        <w:rPr>
          <w:rFonts w:ascii="Times New Roman" w:hAnsi="Times New Roman"/>
        </w:rPr>
      </w:pPr>
    </w:p>
    <w:p w:rsidR="00AE0F90" w:rsidRPr="00DC4A4B"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t xml:space="preserve">Графика </w:t>
      </w:r>
      <w:r w:rsidR="00227FC6">
        <w:rPr>
          <w:rFonts w:ascii="Times New Roman" w:hAnsi="Times New Roman" w:cs="Times New Roman"/>
          <w:b/>
          <w:sz w:val="18"/>
          <w:szCs w:val="18"/>
        </w:rPr>
        <w:t xml:space="preserve">1. </w:t>
      </w:r>
      <w:r w:rsidRPr="00DC4A4B">
        <w:rPr>
          <w:rFonts w:ascii="Times New Roman" w:hAnsi="Times New Roman" w:cs="Times New Roman"/>
          <w:b/>
          <w:sz w:val="18"/>
          <w:szCs w:val="18"/>
        </w:rPr>
        <w:t xml:space="preserve">Растеж на </w:t>
      </w:r>
      <w:r>
        <w:rPr>
          <w:rFonts w:ascii="Times New Roman" w:hAnsi="Times New Roman" w:cs="Times New Roman"/>
          <w:b/>
          <w:sz w:val="18"/>
          <w:szCs w:val="18"/>
        </w:rPr>
        <w:t>БВП и потреблението</w:t>
      </w:r>
      <w:r w:rsidRPr="00DC4A4B">
        <w:rPr>
          <w:rFonts w:ascii="Times New Roman" w:hAnsi="Times New Roman" w:cs="Times New Roman"/>
          <w:b/>
          <w:sz w:val="18"/>
          <w:szCs w:val="18"/>
        </w:rPr>
        <w:t>, 20</w:t>
      </w:r>
      <w:r>
        <w:rPr>
          <w:rFonts w:ascii="Times New Roman" w:hAnsi="Times New Roman" w:cs="Times New Roman"/>
          <w:b/>
          <w:sz w:val="18"/>
          <w:szCs w:val="18"/>
        </w:rPr>
        <w:t>08</w:t>
      </w:r>
      <w:r w:rsidRPr="00DC4A4B">
        <w:rPr>
          <w:rFonts w:ascii="Times New Roman" w:hAnsi="Times New Roman" w:cs="Times New Roman"/>
          <w:b/>
          <w:sz w:val="18"/>
          <w:szCs w:val="18"/>
        </w:rPr>
        <w:t xml:space="preserve"> г. </w:t>
      </w:r>
      <w:r w:rsidRPr="00DC4A4B">
        <w:rPr>
          <w:rFonts w:ascii="Times New Roman" w:hAnsi="Times New Roman" w:cs="Times New Roman"/>
          <w:b/>
          <w:sz w:val="18"/>
          <w:szCs w:val="18"/>
          <w:lang w:val="en-US"/>
        </w:rPr>
        <w:t>=</w:t>
      </w:r>
      <w:r w:rsidRPr="00DC4A4B">
        <w:rPr>
          <w:rFonts w:ascii="Times New Roman" w:hAnsi="Times New Roman" w:cs="Times New Roman"/>
          <w:b/>
          <w:sz w:val="18"/>
          <w:szCs w:val="18"/>
        </w:rPr>
        <w:t xml:space="preserve"> 100</w:t>
      </w:r>
    </w:p>
    <w:p w:rsidR="00AE0F90" w:rsidRDefault="00AE0F90" w:rsidP="00AE0F90">
      <w:pPr>
        <w:jc w:val="both"/>
        <w:rPr>
          <w:rFonts w:ascii="Times New Roman" w:hAnsi="Times New Roman"/>
        </w:rPr>
      </w:pPr>
      <w:r>
        <w:rPr>
          <w:rFonts w:ascii="Times New Roman" w:hAnsi="Times New Roman"/>
          <w:noProof/>
          <w:lang w:eastAsia="bg-BG"/>
        </w:rPr>
        <w:drawing>
          <wp:anchor distT="0" distB="0" distL="114300" distR="114300" simplePos="0" relativeHeight="251653632" behindDoc="0" locked="0" layoutInCell="1" allowOverlap="1" wp14:anchorId="56160ABF" wp14:editId="26A7263E">
            <wp:simplePos x="0" y="0"/>
            <wp:positionH relativeFrom="column">
              <wp:posOffset>2998470</wp:posOffset>
            </wp:positionH>
            <wp:positionV relativeFrom="paragraph">
              <wp:posOffset>59055</wp:posOffset>
            </wp:positionV>
            <wp:extent cx="3090545" cy="1857375"/>
            <wp:effectExtent l="0" t="0" r="0" b="9525"/>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90545" cy="185737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rPr>
        <w:t xml:space="preserve">Икономическото възстановяване в страната протича паралелно с оздравителни процеси на елиминиране на икономически дисбаланси. Хроничният </w:t>
      </w:r>
      <w:r w:rsidRPr="000769B8">
        <w:rPr>
          <w:rFonts w:ascii="Times New Roman" w:hAnsi="Times New Roman"/>
          <w:b/>
          <w:color w:val="4F81BD"/>
        </w:rPr>
        <w:t>дефицит по текущата сметка</w:t>
      </w:r>
      <w:r>
        <w:rPr>
          <w:rFonts w:ascii="Times New Roman" w:hAnsi="Times New Roman"/>
        </w:rPr>
        <w:t xml:space="preserve"> намалява бързо след 2007 г. и през 2011 г. се превръща в излишък за пръв път след дълбоките институционални промени през 90-те години на миналия век. Износът на страната се превръща в основен фактор и двигател на икономическия растеж, като нараства устойчиво от 42.3% от БВП през 2009 г. до 66.3% от БВП през 2017 г. При това икономиката увеличава отвореността си, като оборотът на външната търговия достига 131.1% от БВП през 2017 г. Същевременно, вътрешното търсене намалява приноса си при формиране на икономическия растеж. Кумулативният растеж на частното потребление за периода 2008-2017 г. изпреварва незначително растежа на икономиката (въпреки възстановяването на кредита и растежа на заетостта), като по този начин не позволява формирането на нездравословни тенденции, характерни за периода преди кризата. Публичното потребление, нараства по-бавно от икономиката като цяло през разглеждания период, въпреки известна </w:t>
      </w:r>
      <w:proofErr w:type="spellStart"/>
      <w:r>
        <w:rPr>
          <w:rFonts w:ascii="Times New Roman" w:hAnsi="Times New Roman"/>
        </w:rPr>
        <w:t>процикличност</w:t>
      </w:r>
      <w:proofErr w:type="spellEnd"/>
      <w:r>
        <w:rPr>
          <w:rFonts w:ascii="Times New Roman" w:hAnsi="Times New Roman"/>
        </w:rPr>
        <w:t xml:space="preserve"> в отделни години.</w:t>
      </w:r>
    </w:p>
    <w:p w:rsidR="00AE0F90" w:rsidRPr="00DC4A4B"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t xml:space="preserve">Графика </w:t>
      </w:r>
      <w:r w:rsidR="00227FC6">
        <w:rPr>
          <w:rFonts w:ascii="Times New Roman" w:hAnsi="Times New Roman" w:cs="Times New Roman"/>
          <w:b/>
          <w:sz w:val="18"/>
          <w:szCs w:val="18"/>
        </w:rPr>
        <w:t xml:space="preserve">2. </w:t>
      </w:r>
      <w:r w:rsidRPr="00DC4A4B">
        <w:rPr>
          <w:rFonts w:ascii="Times New Roman" w:hAnsi="Times New Roman" w:cs="Times New Roman"/>
          <w:b/>
          <w:sz w:val="18"/>
          <w:szCs w:val="18"/>
        </w:rPr>
        <w:t xml:space="preserve">Растеж на </w:t>
      </w:r>
      <w:r>
        <w:rPr>
          <w:rFonts w:ascii="Times New Roman" w:hAnsi="Times New Roman" w:cs="Times New Roman"/>
          <w:b/>
          <w:sz w:val="18"/>
          <w:szCs w:val="18"/>
        </w:rPr>
        <w:t>БВП и инвестициите</w:t>
      </w:r>
      <w:r w:rsidRPr="00DC4A4B">
        <w:rPr>
          <w:rFonts w:ascii="Times New Roman" w:hAnsi="Times New Roman" w:cs="Times New Roman"/>
          <w:b/>
          <w:sz w:val="18"/>
          <w:szCs w:val="18"/>
        </w:rPr>
        <w:t>, 20</w:t>
      </w:r>
      <w:r>
        <w:rPr>
          <w:rFonts w:ascii="Times New Roman" w:hAnsi="Times New Roman" w:cs="Times New Roman"/>
          <w:b/>
          <w:sz w:val="18"/>
          <w:szCs w:val="18"/>
        </w:rPr>
        <w:t>08</w:t>
      </w:r>
      <w:r w:rsidRPr="00DC4A4B">
        <w:rPr>
          <w:rFonts w:ascii="Times New Roman" w:hAnsi="Times New Roman" w:cs="Times New Roman"/>
          <w:b/>
          <w:sz w:val="18"/>
          <w:szCs w:val="18"/>
        </w:rPr>
        <w:t xml:space="preserve"> г. </w:t>
      </w:r>
      <w:r w:rsidRPr="00DC4A4B">
        <w:rPr>
          <w:rFonts w:ascii="Times New Roman" w:hAnsi="Times New Roman" w:cs="Times New Roman"/>
          <w:b/>
          <w:sz w:val="18"/>
          <w:szCs w:val="18"/>
          <w:lang w:val="en-US"/>
        </w:rPr>
        <w:t>=</w:t>
      </w:r>
      <w:r w:rsidRPr="00DC4A4B">
        <w:rPr>
          <w:rFonts w:ascii="Times New Roman" w:hAnsi="Times New Roman" w:cs="Times New Roman"/>
          <w:b/>
          <w:sz w:val="18"/>
          <w:szCs w:val="18"/>
        </w:rPr>
        <w:t xml:space="preserve"> 100</w:t>
      </w:r>
    </w:p>
    <w:p w:rsidR="00AE0F90" w:rsidRDefault="00AE0F90" w:rsidP="00AE0F90">
      <w:pPr>
        <w:jc w:val="both"/>
        <w:rPr>
          <w:rFonts w:ascii="Times New Roman" w:hAnsi="Times New Roman"/>
        </w:rPr>
      </w:pPr>
      <w:r>
        <w:rPr>
          <w:rFonts w:ascii="Times New Roman" w:hAnsi="Times New Roman"/>
          <w:noProof/>
          <w:lang w:eastAsia="bg-BG"/>
        </w:rPr>
        <w:drawing>
          <wp:anchor distT="0" distB="0" distL="114300" distR="114300" simplePos="0" relativeHeight="251654656" behindDoc="0" locked="0" layoutInCell="1" allowOverlap="1" wp14:anchorId="7572DEBA" wp14:editId="52D78D57">
            <wp:simplePos x="0" y="0"/>
            <wp:positionH relativeFrom="column">
              <wp:posOffset>2953385</wp:posOffset>
            </wp:positionH>
            <wp:positionV relativeFrom="paragraph">
              <wp:posOffset>87630</wp:posOffset>
            </wp:positionV>
            <wp:extent cx="3135630" cy="1884680"/>
            <wp:effectExtent l="0" t="0" r="7620" b="127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35630" cy="1884680"/>
                    </a:xfrm>
                    <a:prstGeom prst="rect">
                      <a:avLst/>
                    </a:prstGeom>
                    <a:noFill/>
                  </pic:spPr>
                </pic:pic>
              </a:graphicData>
            </a:graphic>
            <wp14:sizeRelH relativeFrom="page">
              <wp14:pctWidth>0</wp14:pctWidth>
            </wp14:sizeRelH>
            <wp14:sizeRelV relativeFrom="page">
              <wp14:pctHeight>0</wp14:pctHeight>
            </wp14:sizeRelV>
          </wp:anchor>
        </w:drawing>
      </w:r>
      <w:r w:rsidRPr="00990A44">
        <w:rPr>
          <w:rFonts w:ascii="Times New Roman" w:hAnsi="Times New Roman"/>
        </w:rPr>
        <w:t xml:space="preserve">Делът на </w:t>
      </w:r>
      <w:r w:rsidRPr="000769B8">
        <w:rPr>
          <w:rFonts w:ascii="Times New Roman" w:hAnsi="Times New Roman"/>
          <w:b/>
          <w:color w:val="4F81BD"/>
        </w:rPr>
        <w:t>инвестициите</w:t>
      </w:r>
      <w:r w:rsidRPr="00990A44">
        <w:rPr>
          <w:rFonts w:ascii="Times New Roman" w:hAnsi="Times New Roman"/>
        </w:rPr>
        <w:t xml:space="preserve"> в БВП намалява до 19.2%</w:t>
      </w:r>
      <w:r w:rsidRPr="00990A44">
        <w:rPr>
          <w:rStyle w:val="FootnoteReference"/>
          <w:rFonts w:ascii="Times New Roman" w:hAnsi="Times New Roman"/>
        </w:rPr>
        <w:footnoteReference w:id="9"/>
      </w:r>
      <w:r w:rsidRPr="00990A44">
        <w:rPr>
          <w:rFonts w:ascii="Times New Roman" w:hAnsi="Times New Roman"/>
        </w:rPr>
        <w:t xml:space="preserve"> през 2017 г. спрямо 33% в пика им през 2008 г. По този показател България изостава значително от сравнимите икономики в ЕС. </w:t>
      </w:r>
      <w:r>
        <w:rPr>
          <w:rFonts w:ascii="Times New Roman" w:hAnsi="Times New Roman"/>
        </w:rPr>
        <w:t xml:space="preserve">Динамиката на публичните инвестиции (формиращи около 1/5 от общите инвестиции през периода 2008-2017 г.) отразява до голяма степен ритмичността на усвояване на средствата от ЕС по оперативните програми на страната. Успоредно с ускоряването на изпълнението на тези програми се очаква и възстановяване на публичните инвестиции. </w:t>
      </w:r>
      <w:r w:rsidRPr="00990A44">
        <w:rPr>
          <w:rFonts w:ascii="Times New Roman" w:hAnsi="Times New Roman"/>
        </w:rPr>
        <w:t>Продължителният спад на частните инвестиции, не само в годините на кризата, но и в следващия период, наблюдаван в условия на постепенно възстановяване на европейските пазари и реализиране на икономически растеж в страната, провокира усилия на администрацията за идентифициране и преодоляване на пречките пред инвеститорския интерес. През 2016 г. правителството изготвя нарочен План за действие с мерки, включващи промени в нормативната уредба и целящи облекчаване на условията за правене на бизнес в страната, резултатите от който са видни още през 2016 г., когато частните инвестиции отбелязват съществен растеж. Притокът на преки чуждестранни инвестиции в страната остава далеч от регистрираните преди кризата нива, основните фактори за което (глобални тенденции, промяна в склонността на инвеститорите да поемат риск, сред други) обаче би следвало да бъдат търсени по-скоро извън националната рамка. България остава в челото на ЕС по показателя привлечени преки чуждестранни инвестиции, нормирани с размера на икономиката (БВП).</w:t>
      </w:r>
    </w:p>
    <w:p w:rsidR="00AE0F90" w:rsidRPr="00990A44" w:rsidRDefault="00AE0F90" w:rsidP="00AE0F90">
      <w:pPr>
        <w:jc w:val="both"/>
        <w:rPr>
          <w:rFonts w:ascii="Times New Roman" w:hAnsi="Times New Roman"/>
          <w:highlight w:val="yellow"/>
        </w:rPr>
      </w:pPr>
      <w:r>
        <w:rPr>
          <w:rFonts w:ascii="Times New Roman" w:hAnsi="Times New Roman"/>
        </w:rPr>
        <w:t xml:space="preserve">След регистрираната двуцифрена средногодишна </w:t>
      </w:r>
      <w:r w:rsidRPr="000B6C7A">
        <w:rPr>
          <w:rFonts w:ascii="Times New Roman" w:hAnsi="Times New Roman"/>
          <w:b/>
          <w:color w:val="4F81BD"/>
        </w:rPr>
        <w:t>инфлация</w:t>
      </w:r>
      <w:r>
        <w:rPr>
          <w:rFonts w:ascii="Times New Roman" w:hAnsi="Times New Roman"/>
        </w:rPr>
        <w:t xml:space="preserve"> през 2008 г., ценовото равнище в страната проявява относителна стабилност и натрупаната инфлация за последните девет години достига едва </w:t>
      </w:r>
      <w:r>
        <w:rPr>
          <w:rFonts w:ascii="Times New Roman" w:hAnsi="Times New Roman"/>
        </w:rPr>
        <w:lastRenderedPageBreak/>
        <w:t>9.1%, което отрежда на България четвърто</w:t>
      </w:r>
      <w:r>
        <w:rPr>
          <w:rStyle w:val="FootnoteReference"/>
          <w:rFonts w:ascii="Times New Roman" w:hAnsi="Times New Roman"/>
        </w:rPr>
        <w:footnoteReference w:id="10"/>
      </w:r>
      <w:r>
        <w:rPr>
          <w:rFonts w:ascii="Times New Roman" w:hAnsi="Times New Roman"/>
        </w:rPr>
        <w:t xml:space="preserve"> място в ЕС по показателя стабилност на ценовото равнище през разглеждания период, но същевременно увеличава допълнително разликата в ценовите равнища между страната и общността</w:t>
      </w:r>
      <w:r>
        <w:rPr>
          <w:rStyle w:val="FootnoteReference"/>
          <w:rFonts w:ascii="Times New Roman" w:hAnsi="Times New Roman"/>
        </w:rPr>
        <w:footnoteReference w:id="11"/>
      </w:r>
      <w:r>
        <w:rPr>
          <w:rFonts w:ascii="Times New Roman" w:hAnsi="Times New Roman"/>
        </w:rPr>
        <w:t>.</w:t>
      </w:r>
    </w:p>
    <w:p w:rsidR="00AE0F90" w:rsidRPr="00CE6187" w:rsidRDefault="00AE0F90" w:rsidP="00AE0F90">
      <w:pPr>
        <w:jc w:val="both"/>
        <w:rPr>
          <w:rFonts w:ascii="Times New Roman" w:hAnsi="Times New Roman"/>
        </w:rPr>
      </w:pPr>
      <w:r w:rsidRPr="00CE6187">
        <w:rPr>
          <w:rFonts w:ascii="Times New Roman" w:hAnsi="Times New Roman"/>
          <w:b/>
          <w:color w:val="4F81BD"/>
        </w:rPr>
        <w:t>Валутният борд</w:t>
      </w:r>
      <w:r w:rsidRPr="00CE6187">
        <w:rPr>
          <w:rFonts w:ascii="Times New Roman" w:hAnsi="Times New Roman"/>
        </w:rPr>
        <w:t xml:space="preserve"> продължава да бъде фактор на стабилност. В периода 2008–2017 г. валутните резерви на страната продължават да нарастват, достигайки 23.7 млрд. евро в края на 2017 г. Покритието на паричната база с резерви през този период възлиза на около и над 150% (при изискуемо минимално равнище на покритие от 100%), което е атестат за стабилността на валутния борд. В контекста на запазване на макроикономическата стабилност, ангажиментът за запазване на режима на паричен съвет при съществуващото равнище на фиксирания валутен курс от 1.95583 лв. за 1 евро до присъединяването на страната към еврозоната присъства неизменно в програмата на всички правителства и е подкрепен от всички парламентарно представени политически партии.</w:t>
      </w:r>
    </w:p>
    <w:p w:rsidR="00AE0F90" w:rsidRPr="000C3E70" w:rsidRDefault="00AE0F90" w:rsidP="00AE0F90">
      <w:pPr>
        <w:jc w:val="both"/>
        <w:rPr>
          <w:rFonts w:ascii="Times New Roman" w:hAnsi="Times New Roman"/>
        </w:rPr>
      </w:pPr>
      <w:r w:rsidRPr="0094506E">
        <w:rPr>
          <w:rFonts w:ascii="Times New Roman" w:hAnsi="Times New Roman"/>
        </w:rPr>
        <w:t xml:space="preserve">В годините след въвеждането на валутния борд, страната провежда благоразумна и консервативна </w:t>
      </w:r>
      <w:r w:rsidRPr="0094506E">
        <w:rPr>
          <w:rFonts w:ascii="Times New Roman" w:hAnsi="Times New Roman"/>
          <w:b/>
          <w:color w:val="4F81BD"/>
        </w:rPr>
        <w:t>фискална политика</w:t>
      </w:r>
      <w:r w:rsidRPr="0094506E">
        <w:rPr>
          <w:rFonts w:ascii="Times New Roman" w:hAnsi="Times New Roman"/>
        </w:rPr>
        <w:t xml:space="preserve">, основана на принципите на фискална устойчивост и строга фискална дисциплина. Правителствените разходи (ограничени от Закона за публичните финанси в размер, </w:t>
      </w:r>
      <w:proofErr w:type="spellStart"/>
      <w:r w:rsidRPr="0094506E">
        <w:rPr>
          <w:rFonts w:ascii="Times New Roman" w:hAnsi="Times New Roman"/>
        </w:rPr>
        <w:t>ненадхвърлящ</w:t>
      </w:r>
      <w:proofErr w:type="spellEnd"/>
      <w:r w:rsidRPr="0094506E">
        <w:rPr>
          <w:rFonts w:ascii="Times New Roman" w:hAnsi="Times New Roman"/>
        </w:rPr>
        <w:t xml:space="preserve"> 40% от прогнозния БВП) възлизат на 37.2% от БВП средно за последните десет години, при 47.9% от БВП средно за ЕС.</w:t>
      </w:r>
      <w:r>
        <w:rPr>
          <w:rFonts w:ascii="Times New Roman" w:hAnsi="Times New Roman"/>
        </w:rPr>
        <w:t xml:space="preserve"> Същевременно, България се нарежда на челно място в общността по степен на невмешателство в стопанския живот, като само три</w:t>
      </w:r>
      <w:r>
        <w:rPr>
          <w:rStyle w:val="FootnoteReference"/>
          <w:rFonts w:ascii="Times New Roman" w:hAnsi="Times New Roman"/>
        </w:rPr>
        <w:footnoteReference w:id="12"/>
      </w:r>
      <w:r>
        <w:rPr>
          <w:rFonts w:ascii="Times New Roman" w:hAnsi="Times New Roman"/>
        </w:rPr>
        <w:t xml:space="preserve"> държави – членки на ЕС изземват по-малка част от създадените в икономиките им доходи – правителствените приходи възлизат на малко над 1/3 от БВП, докато средно за ЕС изземването наближава ½ от БВП. След седем поредни години, в които бюджетното салдо е отрицателно, през 2016 г. и 2017 г. са регистрирани фискални излишъци (съответно 0.2% от БВП и 0.9% от БВП).</w:t>
      </w:r>
      <w:r w:rsidRPr="0094506E">
        <w:rPr>
          <w:rFonts w:ascii="Times New Roman" w:hAnsi="Times New Roman"/>
        </w:rPr>
        <w:t xml:space="preserve"> До голяма степен подобрението в последните години се дължи на фазата на икономическия цикъл, въпреки че позитивен ефект имат и предприетите мерки за повишаване на събираемостта на данъците и борбата със сенчестата икономика и недекларирания труд.</w:t>
      </w:r>
      <w:r>
        <w:rPr>
          <w:rFonts w:ascii="Times New Roman" w:hAnsi="Times New Roman"/>
        </w:rPr>
        <w:t xml:space="preserve"> </w:t>
      </w:r>
      <w:r w:rsidRPr="000C3E70">
        <w:rPr>
          <w:rFonts w:ascii="Times New Roman" w:hAnsi="Times New Roman"/>
        </w:rPr>
        <w:t xml:space="preserve">Средносрочната и дългосрочната устойчивост на публичните финанси остават приоритетни аспекти на политиката, включително от гледна точка на повишаване на доверието и създаване на предвидима инвестиционна и стопанска среда. В </w:t>
      </w:r>
      <w:proofErr w:type="spellStart"/>
      <w:r w:rsidRPr="000C3E70">
        <w:rPr>
          <w:rFonts w:ascii="Times New Roman" w:hAnsi="Times New Roman"/>
        </w:rPr>
        <w:t>Конвергентната</w:t>
      </w:r>
      <w:proofErr w:type="spellEnd"/>
      <w:r w:rsidRPr="000C3E70">
        <w:rPr>
          <w:rFonts w:ascii="Times New Roman" w:hAnsi="Times New Roman"/>
        </w:rPr>
        <w:t xml:space="preserve"> програма 2018-2021 г. България запазва средносрочната си бюджетна цел за структурен баланс на годишна основа в размер на -1% от БВП.</w:t>
      </w:r>
    </w:p>
    <w:p w:rsidR="00AE0F90" w:rsidRPr="00664DE4" w:rsidRDefault="00AE0F90" w:rsidP="00AE0F90">
      <w:pPr>
        <w:jc w:val="both"/>
        <w:rPr>
          <w:rFonts w:ascii="Times New Roman" w:hAnsi="Times New Roman"/>
        </w:rPr>
      </w:pPr>
      <w:r w:rsidRPr="000C3E70">
        <w:rPr>
          <w:rFonts w:ascii="Times New Roman" w:hAnsi="Times New Roman"/>
        </w:rPr>
        <w:t xml:space="preserve">Провеждането на последователна и благоразумна фискална политика през годините </w:t>
      </w:r>
      <w:proofErr w:type="spellStart"/>
      <w:r w:rsidRPr="000C3E70">
        <w:rPr>
          <w:rFonts w:ascii="Times New Roman" w:hAnsi="Times New Roman"/>
        </w:rPr>
        <w:t>резултира</w:t>
      </w:r>
      <w:proofErr w:type="spellEnd"/>
      <w:r w:rsidRPr="000C3E70">
        <w:rPr>
          <w:rFonts w:ascii="Times New Roman" w:hAnsi="Times New Roman"/>
        </w:rPr>
        <w:t xml:space="preserve"> в относително нисък размер на </w:t>
      </w:r>
      <w:r w:rsidRPr="000C3E70">
        <w:rPr>
          <w:rFonts w:ascii="Times New Roman" w:hAnsi="Times New Roman"/>
          <w:b/>
          <w:color w:val="4F81BD"/>
        </w:rPr>
        <w:t>държавния дълг</w:t>
      </w:r>
      <w:r w:rsidRPr="000C3E70">
        <w:rPr>
          <w:rFonts w:ascii="Times New Roman" w:hAnsi="Times New Roman"/>
        </w:rPr>
        <w:t>. Въпреки значителното му нарастване през разглеждания период, главно поради развитията в банковата система през 2014 г., България остава една от държавите – членки на ЕС с най-нисък дълг на сектор „</w:t>
      </w:r>
      <w:r w:rsidRPr="00265925">
        <w:rPr>
          <w:rFonts w:ascii="Times New Roman" w:hAnsi="Times New Roman"/>
          <w:i/>
        </w:rPr>
        <w:t>Държавно управление</w:t>
      </w:r>
      <w:r w:rsidRPr="000C3E70">
        <w:rPr>
          <w:rFonts w:ascii="Times New Roman" w:hAnsi="Times New Roman"/>
        </w:rPr>
        <w:t>”. Стойността на показателя достига 25.4% от БВП</w:t>
      </w:r>
      <w:r>
        <w:rPr>
          <w:rFonts w:ascii="Times New Roman" w:hAnsi="Times New Roman"/>
        </w:rPr>
        <w:t xml:space="preserve"> през 2017 г.</w:t>
      </w:r>
      <w:r w:rsidRPr="000C3E70">
        <w:rPr>
          <w:rFonts w:ascii="Times New Roman" w:hAnsi="Times New Roman"/>
        </w:rPr>
        <w:t xml:space="preserve">, повече от двойно по-ниска от критичната стойност по </w:t>
      </w:r>
      <w:proofErr w:type="spellStart"/>
      <w:r w:rsidRPr="000C3E70">
        <w:rPr>
          <w:rFonts w:ascii="Times New Roman" w:hAnsi="Times New Roman"/>
        </w:rPr>
        <w:t>Маастрихтските</w:t>
      </w:r>
      <w:proofErr w:type="spellEnd"/>
      <w:r w:rsidRPr="000C3E70">
        <w:rPr>
          <w:rFonts w:ascii="Times New Roman" w:hAnsi="Times New Roman"/>
        </w:rPr>
        <w:t xml:space="preserve"> критерии.</w:t>
      </w:r>
    </w:p>
    <w:p w:rsidR="00AE0F90" w:rsidRDefault="00AE0F90" w:rsidP="00AE0F90">
      <w:pPr>
        <w:jc w:val="both"/>
        <w:rPr>
          <w:rFonts w:ascii="Times New Roman" w:hAnsi="Times New Roman"/>
        </w:rPr>
      </w:pPr>
      <w:r>
        <w:rPr>
          <w:rFonts w:ascii="Times New Roman" w:hAnsi="Times New Roman"/>
        </w:rPr>
        <w:t xml:space="preserve">Стабилната и предвидима макроикономическа среда е едно от основните предимства на страната. Изследването </w:t>
      </w:r>
      <w:proofErr w:type="spellStart"/>
      <w:r w:rsidRPr="001A226F">
        <w:rPr>
          <w:rFonts w:ascii="Times New Roman" w:hAnsi="Times New Roman"/>
          <w:i/>
        </w:rPr>
        <w:t>Global</w:t>
      </w:r>
      <w:proofErr w:type="spellEnd"/>
      <w:r w:rsidRPr="001A226F">
        <w:rPr>
          <w:rFonts w:ascii="Times New Roman" w:hAnsi="Times New Roman"/>
          <w:i/>
        </w:rPr>
        <w:t xml:space="preserve"> </w:t>
      </w:r>
      <w:proofErr w:type="spellStart"/>
      <w:r w:rsidRPr="001A226F">
        <w:rPr>
          <w:rFonts w:ascii="Times New Roman" w:hAnsi="Times New Roman"/>
          <w:i/>
        </w:rPr>
        <w:t>Competitiveness</w:t>
      </w:r>
      <w:proofErr w:type="spellEnd"/>
      <w:r w:rsidRPr="001A226F">
        <w:rPr>
          <w:rFonts w:ascii="Times New Roman" w:hAnsi="Times New Roman"/>
          <w:i/>
        </w:rPr>
        <w:t xml:space="preserve"> </w:t>
      </w:r>
      <w:proofErr w:type="spellStart"/>
      <w:r w:rsidRPr="001A226F">
        <w:rPr>
          <w:rFonts w:ascii="Times New Roman" w:hAnsi="Times New Roman"/>
          <w:i/>
        </w:rPr>
        <w:t>Report</w:t>
      </w:r>
      <w:proofErr w:type="spellEnd"/>
      <w:r w:rsidRPr="001A226F">
        <w:rPr>
          <w:rFonts w:ascii="Times New Roman" w:hAnsi="Times New Roman"/>
          <w:i/>
        </w:rPr>
        <w:t xml:space="preserve"> 2017-2018</w:t>
      </w:r>
      <w:r w:rsidRPr="001A226F">
        <w:rPr>
          <w:rFonts w:ascii="Times New Roman" w:hAnsi="Times New Roman"/>
        </w:rPr>
        <w:t xml:space="preserve"> на Световния икономически форум</w:t>
      </w:r>
      <w:r>
        <w:rPr>
          <w:rFonts w:ascii="Times New Roman" w:hAnsi="Times New Roman"/>
        </w:rPr>
        <w:t xml:space="preserve"> поставя България на 25-то място в света и на 11-то място в ЕС по този показател. При това през последните десет години страната успява да подобри представянето си с повече от 20 позиции в глобален план и с 4 позиции в рамките на ЕС.</w:t>
      </w:r>
    </w:p>
    <w:p w:rsidR="00AE0F90" w:rsidRPr="00F203B6" w:rsidRDefault="00AE0F90" w:rsidP="00AE0F90">
      <w:pPr>
        <w:pStyle w:val="Heading2"/>
        <w:numPr>
          <w:ilvl w:val="1"/>
          <w:numId w:val="16"/>
        </w:numPr>
        <w:rPr>
          <w:color w:val="1F497D"/>
        </w:rPr>
      </w:pPr>
      <w:bookmarkStart w:id="10" w:name="_Toc791804"/>
      <w:r>
        <w:rPr>
          <w:color w:val="1F497D"/>
        </w:rPr>
        <w:lastRenderedPageBreak/>
        <w:t>Човешки капитал</w:t>
      </w:r>
      <w:bookmarkEnd w:id="10"/>
    </w:p>
    <w:p w:rsidR="00AE0F90" w:rsidRPr="00996CC9" w:rsidRDefault="00AE0F90" w:rsidP="00AE0F90">
      <w:pPr>
        <w:pStyle w:val="Heading3"/>
        <w:numPr>
          <w:ilvl w:val="2"/>
          <w:numId w:val="16"/>
        </w:numPr>
        <w:rPr>
          <w:color w:val="1F497D"/>
        </w:rPr>
      </w:pPr>
      <w:bookmarkStart w:id="11" w:name="_Toc525196964"/>
      <w:bookmarkStart w:id="12" w:name="_Toc791805"/>
      <w:r w:rsidRPr="00996CC9">
        <w:rPr>
          <w:color w:val="1F497D"/>
        </w:rPr>
        <w:t>Демографска картина и перспективи</w:t>
      </w:r>
      <w:bookmarkEnd w:id="11"/>
      <w:bookmarkEnd w:id="12"/>
    </w:p>
    <w:p w:rsidR="00AE0F90" w:rsidRPr="00DC4A4B" w:rsidRDefault="00AE0F90" w:rsidP="00AE0F90">
      <w:pPr>
        <w:jc w:val="both"/>
        <w:rPr>
          <w:rFonts w:ascii="Times New Roman" w:hAnsi="Times New Roman"/>
          <w:i/>
        </w:rPr>
      </w:pPr>
      <w:r>
        <w:rPr>
          <w:rFonts w:ascii="Times New Roman" w:hAnsi="Times New Roman"/>
          <w:i/>
        </w:rPr>
        <w:t>Пр</w:t>
      </w:r>
      <w:r w:rsidRPr="00DC4A4B">
        <w:rPr>
          <w:rFonts w:ascii="Times New Roman" w:hAnsi="Times New Roman"/>
          <w:i/>
        </w:rPr>
        <w:t>одължават неблагоприятните демографски тенденции, формирани още в края на миналия век. Въпреки че част от тези тенденции, като намаляваща раждаемост, застаряване на населението и засилена урбанизация, се наблюдават и в останалата част от ЕС и са симптоматични за развитите общества, в страната те са по-остро изразени. В допълнение продължават да се наблюдават и задълбочават негативни тенденции, характерни за развиващи се страни и икономики в преход, като по-високи нива на смъртност и интензивна външна миграция. Комбинацията от тези негативни процеси д</w:t>
      </w:r>
      <w:r w:rsidR="00FB7145">
        <w:rPr>
          <w:rFonts w:ascii="Times New Roman" w:hAnsi="Times New Roman"/>
          <w:i/>
        </w:rPr>
        <w:t>а</w:t>
      </w:r>
      <w:r w:rsidRPr="00DC4A4B">
        <w:rPr>
          <w:rFonts w:ascii="Times New Roman" w:hAnsi="Times New Roman"/>
          <w:i/>
        </w:rPr>
        <w:t>ва основание да се говори за демографска криза и изправя сериозни предизвикателства пред бъдещото функциониране на системите на социално осигуряване и подпомагане, здравеопазване, образование и публични финанси. Пазарът на труда е вече негативно повлиян от тези процеси, при ясна перспектива за изостряне на отрицателните им импликации още в средносрочен период. Като цяло, текущата демографска картина в страната и перспективите за нейното развитие в средносрочен и дългосрочен план показват, че при равни други условия (при непроменени политики) демографският фактор ще компрометира възможността на икономическата система да генерира висок и устойчив растеж и ще понижава ефективността на икономическата политика, насочена към осигуряването на (предпоставки за) такъв растеж.</w:t>
      </w:r>
    </w:p>
    <w:p w:rsidR="00AE0F90" w:rsidRPr="00DC4A4B" w:rsidRDefault="00AE0F90" w:rsidP="00AE0F90">
      <w:pPr>
        <w:jc w:val="both"/>
        <w:rPr>
          <w:rFonts w:ascii="Times New Roman" w:hAnsi="Times New Roman"/>
        </w:rPr>
      </w:pPr>
      <w:r w:rsidRPr="00DC4A4B">
        <w:rPr>
          <w:rFonts w:ascii="Times New Roman" w:hAnsi="Times New Roman"/>
        </w:rPr>
        <w:t xml:space="preserve">Населението на страната продължава да намалява и към края на 2017 г. достига 7 050 034 души, регистрирайки 6.2% кумулативен спад за последния десетгодишен период. По този начин населението на страната намалява относителния си дял в общото население на ЕС, като формира 1.4% от него, спрямо 1.5% при присъединяването на България към ЕС. По предвиждания на НСИ за периода 2020-2080 г. населението на България ще намалее с близо 30%, а делът на населението над 65 г. ще достигне до 29.4%. По прогнози на Световна банка към 2050 г. България ще има най-бързо свиващото се население в </w:t>
      </w:r>
      <w:r>
        <w:rPr>
          <w:rFonts w:ascii="Times New Roman" w:hAnsi="Times New Roman"/>
        </w:rPr>
        <w:t>трудо</w:t>
      </w:r>
      <w:r w:rsidRPr="00DC4A4B">
        <w:rPr>
          <w:rFonts w:ascii="Times New Roman" w:hAnsi="Times New Roman"/>
        </w:rPr>
        <w:t>способна възраст в света.</w:t>
      </w:r>
    </w:p>
    <w:p w:rsidR="00AE0F90" w:rsidRPr="00DC4A4B" w:rsidRDefault="00AE0F90" w:rsidP="00AE0F90">
      <w:pPr>
        <w:jc w:val="both"/>
        <w:rPr>
          <w:rFonts w:ascii="Times New Roman" w:hAnsi="Times New Roman"/>
        </w:rPr>
      </w:pPr>
      <w:r w:rsidRPr="00DC4A4B">
        <w:rPr>
          <w:rFonts w:ascii="Times New Roman" w:hAnsi="Times New Roman"/>
        </w:rPr>
        <w:t>По-голямата част от населението (64.8%) е концентрирана в районите в южната част на България, като през последните десет години относителният дял на населението в северните райони намалява допълнително, което е ограничаващ фактор по отношение на потенциала им за развитие. Малко над половината от населението живее в Югозападен и Южен централен район, като населението там е съответно 2 131 хил. (29.1%) и 1 471 хил. души (20.1%). Критично слабо населен е Северозападен район с гъстота на населението – 41.2 души/</w:t>
      </w:r>
      <w:proofErr w:type="spellStart"/>
      <w:r w:rsidRPr="00DC4A4B">
        <w:rPr>
          <w:rFonts w:ascii="Times New Roman" w:hAnsi="Times New Roman"/>
        </w:rPr>
        <w:t>кв.км</w:t>
      </w:r>
      <w:proofErr w:type="spellEnd"/>
      <w:r w:rsidRPr="00DC4A4B">
        <w:rPr>
          <w:rFonts w:ascii="Times New Roman" w:hAnsi="Times New Roman"/>
        </w:rPr>
        <w:t>.</w:t>
      </w:r>
      <w:r w:rsidRPr="00DC4A4B">
        <w:rPr>
          <w:rStyle w:val="FootnoteReference"/>
          <w:rFonts w:ascii="Times New Roman" w:hAnsi="Times New Roman"/>
        </w:rPr>
        <w:footnoteReference w:id="13"/>
      </w:r>
      <w:r w:rsidRPr="00DC4A4B">
        <w:rPr>
          <w:rFonts w:ascii="Times New Roman" w:hAnsi="Times New Roman"/>
        </w:rPr>
        <w:t xml:space="preserve"> при 64</w:t>
      </w:r>
      <w:r w:rsidRPr="0044565F">
        <w:t xml:space="preserve"> </w:t>
      </w:r>
      <w:r w:rsidRPr="0044565F">
        <w:rPr>
          <w:rFonts w:ascii="Times New Roman" w:hAnsi="Times New Roman"/>
        </w:rPr>
        <w:t>души/</w:t>
      </w:r>
      <w:proofErr w:type="spellStart"/>
      <w:r w:rsidRPr="0044565F">
        <w:rPr>
          <w:rFonts w:ascii="Times New Roman" w:hAnsi="Times New Roman"/>
        </w:rPr>
        <w:t>кв.км</w:t>
      </w:r>
      <w:proofErr w:type="spellEnd"/>
      <w:r w:rsidRPr="0044565F">
        <w:rPr>
          <w:rFonts w:ascii="Times New Roman" w:hAnsi="Times New Roman"/>
        </w:rPr>
        <w:t>.</w:t>
      </w:r>
      <w:r w:rsidRPr="00DC4A4B">
        <w:rPr>
          <w:rFonts w:ascii="Times New Roman" w:hAnsi="Times New Roman"/>
        </w:rPr>
        <w:t xml:space="preserve"> средно за страната.</w:t>
      </w:r>
    </w:p>
    <w:p w:rsidR="00AE0F90" w:rsidRPr="00DC4A4B" w:rsidRDefault="00AE0F90" w:rsidP="00AE0F90">
      <w:pPr>
        <w:jc w:val="both"/>
        <w:rPr>
          <w:rFonts w:ascii="Times New Roman" w:hAnsi="Times New Roman"/>
        </w:rPr>
      </w:pPr>
      <w:r w:rsidRPr="00DC4A4B">
        <w:rPr>
          <w:rFonts w:ascii="Times New Roman" w:hAnsi="Times New Roman"/>
        </w:rPr>
        <w:t xml:space="preserve">Основният фактор за намаляването на населението на страната е отрицателният </w:t>
      </w:r>
      <w:r w:rsidRPr="00DC4A4B">
        <w:rPr>
          <w:rFonts w:ascii="Times New Roman" w:hAnsi="Times New Roman"/>
          <w:b/>
          <w:color w:val="4F81BD"/>
        </w:rPr>
        <w:t>естествен прираст</w:t>
      </w:r>
      <w:r w:rsidRPr="00DC4A4B">
        <w:rPr>
          <w:rFonts w:ascii="Times New Roman" w:hAnsi="Times New Roman"/>
        </w:rPr>
        <w:t>, формиращ почти непрекъсната тенденция на ускорение през последните десет години и достигащ до -6.5‰ към края на 2017 г. (при средно за ЕС от -0.4‰). За това допринасят както намаляването на раждаемостта, така и нарастването на смъртността.</w:t>
      </w:r>
    </w:p>
    <w:p w:rsidR="00AE0F90" w:rsidRPr="00DC4A4B" w:rsidRDefault="00AE0F90" w:rsidP="00AE0F90">
      <w:pPr>
        <w:jc w:val="both"/>
        <w:rPr>
          <w:rFonts w:ascii="Times New Roman" w:hAnsi="Times New Roman"/>
        </w:rPr>
      </w:pPr>
      <w:r w:rsidRPr="00DC4A4B">
        <w:rPr>
          <w:rFonts w:ascii="Times New Roman" w:hAnsi="Times New Roman"/>
        </w:rPr>
        <w:t xml:space="preserve">България е една от държавите с най-ниска </w:t>
      </w:r>
      <w:r w:rsidRPr="00DC4A4B">
        <w:rPr>
          <w:rFonts w:ascii="Times New Roman" w:hAnsi="Times New Roman"/>
          <w:b/>
          <w:color w:val="4F81BD"/>
        </w:rPr>
        <w:t>раждаемост</w:t>
      </w:r>
      <w:r w:rsidRPr="00DC4A4B">
        <w:rPr>
          <w:rFonts w:ascii="Times New Roman" w:hAnsi="Times New Roman"/>
        </w:rPr>
        <w:t xml:space="preserve"> измежду всички държави – членки на ЕС</w:t>
      </w:r>
      <w:r w:rsidRPr="00DC4A4B">
        <w:rPr>
          <w:rStyle w:val="FootnoteReference"/>
          <w:rFonts w:ascii="Times New Roman" w:hAnsi="Times New Roman"/>
        </w:rPr>
        <w:footnoteReference w:id="14"/>
      </w:r>
      <w:r w:rsidRPr="00DC4A4B">
        <w:rPr>
          <w:rFonts w:ascii="Times New Roman" w:hAnsi="Times New Roman"/>
        </w:rPr>
        <w:t xml:space="preserve">. През 2017 г. коефициентът на раждаемост е бил 9‰ при средно 9.9‰ за ЕС. През последните години спад на раждаемостта се наблюдава при всички големи етнически групи, но той не е равномерен. При ромската и турската етнически общности се наблюдава относително по-висока раждаемост отколкото средните за страната стойности, макар и при тенденция на сближаване. Заварената значително по-млада възрастова структура на тези две групи население е важен фактор за запазването и дори за увеличаването на техния относителен дял в ниските възрасти в средносрочна перспектива. В </w:t>
      </w:r>
      <w:r w:rsidRPr="00DC4A4B">
        <w:rPr>
          <w:rFonts w:ascii="Times New Roman" w:hAnsi="Times New Roman"/>
        </w:rPr>
        <w:lastRenderedPageBreak/>
        <w:t>териториален аспект най-висока е раждаемостта в областите Сливен - 12.5‰</w:t>
      </w:r>
      <w:r w:rsidRPr="00DC4A4B">
        <w:rPr>
          <w:rStyle w:val="FootnoteReference"/>
          <w:rFonts w:ascii="Times New Roman" w:hAnsi="Times New Roman"/>
        </w:rPr>
        <w:footnoteReference w:id="15"/>
      </w:r>
      <w:r w:rsidRPr="00DC4A4B">
        <w:rPr>
          <w:rFonts w:ascii="Times New Roman" w:hAnsi="Times New Roman"/>
        </w:rPr>
        <w:t xml:space="preserve"> и София (столица) – 10.3‰, като по-висока от средната за страната е раждаемостта и във Варна, Бургас, Стара Загора, Ямбол, Кърджали и Пловдив. Най-ниска е раждаемостта в областите Видин и Габрово (6.5‰).</w:t>
      </w:r>
    </w:p>
    <w:p w:rsidR="00AE0F90" w:rsidRPr="00DC4A4B" w:rsidRDefault="00AE0F90" w:rsidP="00AE0F90">
      <w:pPr>
        <w:jc w:val="both"/>
        <w:rPr>
          <w:rFonts w:ascii="Times New Roman" w:hAnsi="Times New Roman"/>
        </w:rPr>
      </w:pPr>
      <w:r w:rsidRPr="00DC4A4B">
        <w:rPr>
          <w:rFonts w:ascii="Times New Roman" w:hAnsi="Times New Roman"/>
        </w:rPr>
        <w:t>Продължава тенденцията на изместване на ражданията към по-висока възраст на майката. През 2017 г. средната възраст на жените при раждане на първо дете достига 27.1 години (варирайки между 30.1 години в София и 21.0 години в Сливен), докато в началото на века тя е била 23.8 години. Причините са множество и са взаимосвързани, но най-важните могат да бъдат сведени до: икономически – стремеж към икономическа самостоятелност на жените и страх от изпадане в зависимости в период, когато са най-уязвими (раждането и отглеждането на малкото дете); образователни - завършване на високи образователни нива; професионални и кариерни – утвърждаване в професията и израстване в кариерата; социално-психологически – наличие на подходящ партньор; наличие на самостоятелен дом, наличие на достъпни услуги за отглеждане, възпитание и подпомагане на образованието на децата</w:t>
      </w:r>
      <w:r w:rsidRPr="00DC4A4B">
        <w:rPr>
          <w:rStyle w:val="FootnoteReference"/>
          <w:rFonts w:ascii="Times New Roman" w:hAnsi="Times New Roman"/>
        </w:rPr>
        <w:footnoteReference w:id="16"/>
      </w:r>
      <w:r w:rsidRPr="00DC4A4B">
        <w:rPr>
          <w:rFonts w:ascii="Times New Roman" w:hAnsi="Times New Roman"/>
        </w:rPr>
        <w:t>.</w:t>
      </w:r>
    </w:p>
    <w:p w:rsidR="00AE0F90" w:rsidRPr="001A1614" w:rsidRDefault="00AE0F90" w:rsidP="00AE0F90">
      <w:pPr>
        <w:jc w:val="both"/>
        <w:rPr>
          <w:rFonts w:ascii="Times New Roman" w:hAnsi="Times New Roman"/>
        </w:rPr>
      </w:pPr>
      <w:r w:rsidRPr="00DC4A4B">
        <w:rPr>
          <w:rFonts w:ascii="Times New Roman" w:hAnsi="Times New Roman"/>
        </w:rPr>
        <w:t xml:space="preserve">Същевременно, страната е с най-висока </w:t>
      </w:r>
      <w:r w:rsidRPr="00DC4A4B">
        <w:rPr>
          <w:rFonts w:ascii="Times New Roman" w:hAnsi="Times New Roman"/>
          <w:b/>
          <w:color w:val="4F81BD"/>
        </w:rPr>
        <w:t>смъртност</w:t>
      </w:r>
      <w:r w:rsidRPr="00DC4A4B">
        <w:rPr>
          <w:rFonts w:ascii="Times New Roman" w:hAnsi="Times New Roman"/>
        </w:rPr>
        <w:t xml:space="preserve"> в рамките на ЕС, като през 2017 г. коефициентът на смъртност достига 15.5‰, срещу 9.8‰ средно за ЕС. България се нарежда на първо място измежду всички държави – членки на ЕС по смърт в резултат на болести на органите на кръвообращението, с нива близо три пъти по-високи от средните за ЕС нива. </w:t>
      </w:r>
      <w:r w:rsidRPr="00E86B30">
        <w:rPr>
          <w:rFonts w:ascii="Times New Roman" w:hAnsi="Times New Roman"/>
        </w:rPr>
        <w:t>Равнището на високата обща смъртност у нас се поддържа основно от умиранията във възрастовите групи над 65 години.</w:t>
      </w:r>
      <w:r w:rsidRPr="00E86B30">
        <w:t xml:space="preserve"> </w:t>
      </w:r>
      <w:r w:rsidRPr="00E86B30">
        <w:rPr>
          <w:rFonts w:ascii="Times New Roman" w:hAnsi="Times New Roman"/>
        </w:rPr>
        <w:t xml:space="preserve">Демографските прогнози показват, че поради обективните процеси на </w:t>
      </w:r>
      <w:r>
        <w:rPr>
          <w:rFonts w:ascii="Times New Roman" w:hAnsi="Times New Roman"/>
        </w:rPr>
        <w:t>демографско остаряване</w:t>
      </w:r>
      <w:r w:rsidRPr="00E86B30">
        <w:rPr>
          <w:rFonts w:ascii="Times New Roman" w:hAnsi="Times New Roman"/>
        </w:rPr>
        <w:t>, нивото на общата смъртнос</w:t>
      </w:r>
      <w:r>
        <w:rPr>
          <w:rFonts w:ascii="Times New Roman" w:hAnsi="Times New Roman"/>
        </w:rPr>
        <w:t xml:space="preserve">т в </w:t>
      </w:r>
      <w:r w:rsidRPr="001A1614">
        <w:rPr>
          <w:rFonts w:ascii="Times New Roman" w:hAnsi="Times New Roman"/>
        </w:rPr>
        <w:t>страната ще остане устойчиво високо и в периода до 2030 г.</w:t>
      </w:r>
      <w:r w:rsidRPr="001A1614">
        <w:rPr>
          <w:rStyle w:val="FootnoteReference"/>
          <w:rFonts w:ascii="Times New Roman" w:hAnsi="Times New Roman"/>
        </w:rPr>
        <w:footnoteReference w:id="17"/>
      </w:r>
      <w:r w:rsidRPr="001A1614">
        <w:rPr>
          <w:rFonts w:ascii="Times New Roman" w:hAnsi="Times New Roman"/>
        </w:rPr>
        <w:t xml:space="preserve"> Дет</w:t>
      </w:r>
      <w:r>
        <w:rPr>
          <w:rFonts w:ascii="Times New Roman" w:hAnsi="Times New Roman"/>
        </w:rPr>
        <w:t>ската смъртност проявява устойчива тенденция на намаление през последните години, достигайки 6.4</w:t>
      </w:r>
      <w:r w:rsidRPr="001A1614">
        <w:rPr>
          <w:rFonts w:ascii="Times New Roman" w:hAnsi="Times New Roman"/>
        </w:rPr>
        <w:t>‰</w:t>
      </w:r>
      <w:r>
        <w:rPr>
          <w:rFonts w:ascii="Times New Roman" w:hAnsi="Times New Roman"/>
        </w:rPr>
        <w:t xml:space="preserve"> през 2017 г., но остава почти двойно по-висока от средното ниво в ЕС (3.6</w:t>
      </w:r>
      <w:r w:rsidRPr="00DC4A4B">
        <w:rPr>
          <w:rFonts w:ascii="Times New Roman" w:hAnsi="Times New Roman"/>
        </w:rPr>
        <w:t>‰</w:t>
      </w:r>
      <w:r>
        <w:rPr>
          <w:rFonts w:ascii="Times New Roman" w:hAnsi="Times New Roman"/>
        </w:rPr>
        <w:t>).</w:t>
      </w:r>
    </w:p>
    <w:p w:rsidR="00AE0F90" w:rsidRPr="00DC4A4B" w:rsidRDefault="00AE0F90" w:rsidP="00AE0F90">
      <w:pPr>
        <w:pStyle w:val="Caption"/>
        <w:keepNext/>
        <w:spacing w:before="120" w:after="120"/>
        <w:rPr>
          <w:rFonts w:ascii="Times New Roman" w:hAnsi="Times New Roman" w:cs="Times New Roman"/>
          <w:sz w:val="18"/>
          <w:szCs w:val="18"/>
        </w:rPr>
      </w:pPr>
      <w:r w:rsidRPr="00DC4A4B">
        <w:rPr>
          <w:rFonts w:ascii="Times New Roman" w:hAnsi="Times New Roman" w:cs="Times New Roman"/>
          <w:sz w:val="18"/>
          <w:szCs w:val="18"/>
        </w:rPr>
        <w:t xml:space="preserve">Таблица </w:t>
      </w:r>
      <w:r w:rsidR="00227FC6">
        <w:rPr>
          <w:rFonts w:ascii="Times New Roman" w:hAnsi="Times New Roman" w:cs="Times New Roman"/>
          <w:sz w:val="18"/>
          <w:szCs w:val="18"/>
        </w:rPr>
        <w:t xml:space="preserve">1. </w:t>
      </w:r>
      <w:r w:rsidRPr="00DC4A4B">
        <w:rPr>
          <w:rFonts w:ascii="Times New Roman" w:hAnsi="Times New Roman" w:cs="Times New Roman"/>
          <w:sz w:val="18"/>
          <w:szCs w:val="18"/>
        </w:rPr>
        <w:t>Основни демографски показатели за България за периода 2008-2017 г.</w:t>
      </w:r>
    </w:p>
    <w:tbl>
      <w:tblPr>
        <w:tblW w:w="0" w:type="auto"/>
        <w:tblInd w:w="108" w:type="dxa"/>
        <w:tblBorders>
          <w:top w:val="double" w:sz="4" w:space="0" w:color="9EC3DE"/>
          <w:left w:val="double" w:sz="4" w:space="0" w:color="9EC3DE"/>
          <w:bottom w:val="double" w:sz="4" w:space="0" w:color="9EC3DE"/>
          <w:right w:val="double" w:sz="4" w:space="0" w:color="9EC3DE"/>
          <w:insideH w:val="double" w:sz="4" w:space="0" w:color="9EC3DE"/>
          <w:insideV w:val="double" w:sz="4" w:space="0" w:color="9EC3DE"/>
        </w:tblBorders>
        <w:tblLook w:val="04A0" w:firstRow="1" w:lastRow="0" w:firstColumn="1" w:lastColumn="0" w:noHBand="0" w:noVBand="1"/>
      </w:tblPr>
      <w:tblGrid>
        <w:gridCol w:w="4698"/>
        <w:gridCol w:w="1114"/>
        <w:gridCol w:w="1134"/>
        <w:gridCol w:w="1134"/>
        <w:gridCol w:w="1134"/>
      </w:tblGrid>
      <w:tr w:rsidR="00AE0F90" w:rsidRPr="00DC4A4B" w:rsidTr="00197DD9">
        <w:trPr>
          <w:trHeight w:hRule="exact" w:val="454"/>
        </w:trPr>
        <w:tc>
          <w:tcPr>
            <w:tcW w:w="4698" w:type="dxa"/>
            <w:shd w:val="clear" w:color="auto" w:fill="9EC3DE"/>
          </w:tcPr>
          <w:p w:rsidR="00AE0F90" w:rsidRPr="00DC4A4B" w:rsidRDefault="00AE0F90" w:rsidP="00197DD9">
            <w:pPr>
              <w:pStyle w:val="ListParagraph"/>
              <w:keepNext/>
              <w:spacing w:after="0"/>
              <w:ind w:left="0"/>
              <w:jc w:val="center"/>
              <w:rPr>
                <w:rFonts w:ascii="Times New Roman" w:hAnsi="Times New Roman" w:cs="Times New Roman"/>
                <w:b/>
                <w:sz w:val="18"/>
                <w:szCs w:val="18"/>
              </w:rPr>
            </w:pPr>
            <w:r w:rsidRPr="00DC4A4B">
              <w:rPr>
                <w:rFonts w:ascii="Times New Roman" w:hAnsi="Times New Roman" w:cs="Times New Roman"/>
                <w:b/>
                <w:sz w:val="18"/>
                <w:szCs w:val="18"/>
              </w:rPr>
              <w:t>Показател</w:t>
            </w:r>
          </w:p>
        </w:tc>
        <w:tc>
          <w:tcPr>
            <w:tcW w:w="1114" w:type="dxa"/>
            <w:shd w:val="clear" w:color="auto" w:fill="9EC3DE"/>
          </w:tcPr>
          <w:p w:rsidR="00AE0F90" w:rsidRPr="00DC4A4B" w:rsidRDefault="00AE0F90" w:rsidP="00197DD9">
            <w:pPr>
              <w:pStyle w:val="ListParagraph"/>
              <w:keepNext/>
              <w:spacing w:after="0"/>
              <w:ind w:left="0" w:firstLine="0"/>
              <w:contextualSpacing w:val="0"/>
              <w:jc w:val="center"/>
              <w:rPr>
                <w:rFonts w:ascii="Times New Roman" w:hAnsi="Times New Roman" w:cs="Times New Roman"/>
                <w:b/>
                <w:sz w:val="18"/>
                <w:szCs w:val="18"/>
              </w:rPr>
            </w:pPr>
            <w:r w:rsidRPr="00DC4A4B">
              <w:rPr>
                <w:rFonts w:ascii="Times New Roman" w:hAnsi="Times New Roman" w:cs="Times New Roman"/>
                <w:b/>
                <w:sz w:val="18"/>
                <w:szCs w:val="18"/>
              </w:rPr>
              <w:t>2008 г.</w:t>
            </w:r>
          </w:p>
        </w:tc>
        <w:tc>
          <w:tcPr>
            <w:tcW w:w="1134" w:type="dxa"/>
            <w:shd w:val="clear" w:color="auto" w:fill="9EC3DE"/>
          </w:tcPr>
          <w:p w:rsidR="00AE0F90" w:rsidRPr="00DC4A4B" w:rsidRDefault="00AE0F90" w:rsidP="00197DD9">
            <w:pPr>
              <w:pStyle w:val="ListParagraph"/>
              <w:keepNext/>
              <w:spacing w:after="0"/>
              <w:ind w:left="0" w:firstLine="0"/>
              <w:contextualSpacing w:val="0"/>
              <w:jc w:val="center"/>
              <w:rPr>
                <w:rFonts w:ascii="Times New Roman" w:hAnsi="Times New Roman" w:cs="Times New Roman"/>
                <w:b/>
                <w:sz w:val="18"/>
                <w:szCs w:val="18"/>
              </w:rPr>
            </w:pPr>
            <w:r w:rsidRPr="00DC4A4B">
              <w:rPr>
                <w:rFonts w:ascii="Times New Roman" w:hAnsi="Times New Roman" w:cs="Times New Roman"/>
                <w:b/>
                <w:sz w:val="18"/>
                <w:szCs w:val="18"/>
              </w:rPr>
              <w:t>2011 г.</w:t>
            </w:r>
          </w:p>
        </w:tc>
        <w:tc>
          <w:tcPr>
            <w:tcW w:w="1134" w:type="dxa"/>
            <w:shd w:val="clear" w:color="auto" w:fill="9EC3DE"/>
          </w:tcPr>
          <w:p w:rsidR="00AE0F90" w:rsidRPr="00DC4A4B" w:rsidRDefault="00AE0F90" w:rsidP="00197DD9">
            <w:pPr>
              <w:pStyle w:val="ListParagraph"/>
              <w:keepNext/>
              <w:spacing w:after="0"/>
              <w:ind w:left="0" w:firstLine="0"/>
              <w:contextualSpacing w:val="0"/>
              <w:jc w:val="center"/>
              <w:rPr>
                <w:rFonts w:ascii="Times New Roman" w:hAnsi="Times New Roman" w:cs="Times New Roman"/>
                <w:b/>
                <w:sz w:val="18"/>
                <w:szCs w:val="18"/>
              </w:rPr>
            </w:pPr>
            <w:r w:rsidRPr="00DC4A4B">
              <w:rPr>
                <w:rFonts w:ascii="Times New Roman" w:hAnsi="Times New Roman" w:cs="Times New Roman"/>
                <w:b/>
                <w:sz w:val="18"/>
                <w:szCs w:val="18"/>
              </w:rPr>
              <w:t>2014 г.</w:t>
            </w:r>
          </w:p>
        </w:tc>
        <w:tc>
          <w:tcPr>
            <w:tcW w:w="1134" w:type="dxa"/>
            <w:shd w:val="clear" w:color="auto" w:fill="9EC3DE"/>
          </w:tcPr>
          <w:p w:rsidR="00AE0F90" w:rsidRPr="00DC4A4B" w:rsidRDefault="00AE0F90" w:rsidP="00197DD9">
            <w:pPr>
              <w:pStyle w:val="ListParagraph"/>
              <w:keepNext/>
              <w:spacing w:after="0"/>
              <w:ind w:left="0" w:firstLine="0"/>
              <w:contextualSpacing w:val="0"/>
              <w:jc w:val="center"/>
              <w:rPr>
                <w:rFonts w:ascii="Times New Roman" w:hAnsi="Times New Roman" w:cs="Times New Roman"/>
                <w:b/>
                <w:sz w:val="18"/>
                <w:szCs w:val="18"/>
              </w:rPr>
            </w:pPr>
            <w:r w:rsidRPr="00DC4A4B">
              <w:rPr>
                <w:rFonts w:ascii="Times New Roman" w:hAnsi="Times New Roman" w:cs="Times New Roman"/>
                <w:b/>
                <w:sz w:val="18"/>
                <w:szCs w:val="18"/>
              </w:rPr>
              <w:t>2017</w:t>
            </w:r>
            <w:r>
              <w:rPr>
                <w:rFonts w:ascii="Times New Roman" w:hAnsi="Times New Roman" w:cs="Times New Roman"/>
                <w:b/>
                <w:sz w:val="18"/>
                <w:szCs w:val="18"/>
              </w:rPr>
              <w:t xml:space="preserve"> </w:t>
            </w:r>
            <w:r w:rsidRPr="00DC4A4B">
              <w:rPr>
                <w:rFonts w:ascii="Times New Roman" w:hAnsi="Times New Roman" w:cs="Times New Roman"/>
                <w:b/>
                <w:sz w:val="18"/>
                <w:szCs w:val="18"/>
              </w:rPr>
              <w:t>г.</w:t>
            </w:r>
          </w:p>
        </w:tc>
      </w:tr>
      <w:tr w:rsidR="00AE0F90" w:rsidRPr="00DC4A4B" w:rsidTr="00197DD9">
        <w:trPr>
          <w:trHeight w:hRule="exact" w:val="454"/>
        </w:trPr>
        <w:tc>
          <w:tcPr>
            <w:tcW w:w="4698" w:type="dxa"/>
            <w:vAlign w:val="center"/>
          </w:tcPr>
          <w:p w:rsidR="00AE0F90" w:rsidRPr="00DC4A4B" w:rsidRDefault="00AE0F90" w:rsidP="00197DD9">
            <w:pPr>
              <w:pStyle w:val="ListParagraph"/>
              <w:spacing w:after="0"/>
              <w:ind w:left="0" w:firstLine="0"/>
              <w:contextualSpacing w:val="0"/>
              <w:rPr>
                <w:rFonts w:ascii="Times New Roman" w:hAnsi="Times New Roman" w:cs="Times New Roman"/>
                <w:sz w:val="18"/>
                <w:szCs w:val="18"/>
              </w:rPr>
            </w:pPr>
            <w:r w:rsidRPr="00DC4A4B">
              <w:rPr>
                <w:rFonts w:ascii="Times New Roman" w:hAnsi="Times New Roman" w:cs="Times New Roman"/>
                <w:color w:val="211D1E"/>
                <w:sz w:val="18"/>
                <w:szCs w:val="18"/>
              </w:rPr>
              <w:t>Население</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color w:val="211D1E"/>
                <w:sz w:val="18"/>
                <w:szCs w:val="18"/>
              </w:rPr>
              <w:t>7 467 119</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color w:val="211D1E"/>
                <w:sz w:val="18"/>
                <w:szCs w:val="18"/>
              </w:rPr>
              <w:t>7 327 224</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7 202 198</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7 050 034</w:t>
            </w:r>
          </w:p>
        </w:tc>
      </w:tr>
      <w:tr w:rsidR="00AE0F90" w:rsidRPr="00DC4A4B" w:rsidTr="00197DD9">
        <w:trPr>
          <w:trHeight w:hRule="exact" w:val="454"/>
        </w:trPr>
        <w:tc>
          <w:tcPr>
            <w:tcW w:w="4698" w:type="dxa"/>
            <w:vAlign w:val="center"/>
          </w:tcPr>
          <w:p w:rsidR="00AE0F90" w:rsidRPr="00DC4A4B" w:rsidRDefault="00AE0F90" w:rsidP="00197DD9">
            <w:pPr>
              <w:pStyle w:val="ListParagraph"/>
              <w:spacing w:after="0"/>
              <w:ind w:left="0" w:firstLine="0"/>
              <w:contextualSpacing w:val="0"/>
              <w:rPr>
                <w:rFonts w:ascii="Times New Roman" w:hAnsi="Times New Roman" w:cs="Times New Roman"/>
                <w:sz w:val="18"/>
                <w:szCs w:val="18"/>
              </w:rPr>
            </w:pPr>
            <w:r w:rsidRPr="00DC4A4B">
              <w:rPr>
                <w:rFonts w:ascii="Times New Roman" w:hAnsi="Times New Roman" w:cs="Times New Roman"/>
                <w:color w:val="211D1E"/>
                <w:sz w:val="18"/>
                <w:szCs w:val="18"/>
              </w:rPr>
              <w:t>Коефициент на възрастова зависимост</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44.6</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47.5</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51.2</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54.5</w:t>
            </w:r>
          </w:p>
        </w:tc>
      </w:tr>
      <w:tr w:rsidR="00AE0F90" w:rsidRPr="00DC4A4B" w:rsidTr="00197DD9">
        <w:trPr>
          <w:trHeight w:hRule="exact" w:val="454"/>
        </w:trPr>
        <w:tc>
          <w:tcPr>
            <w:tcW w:w="4698" w:type="dxa"/>
            <w:vAlign w:val="center"/>
          </w:tcPr>
          <w:p w:rsidR="00AE0F90" w:rsidRPr="00DC4A4B" w:rsidRDefault="00AE0F90" w:rsidP="00197DD9">
            <w:pPr>
              <w:pStyle w:val="ListParagraph"/>
              <w:spacing w:after="0"/>
              <w:ind w:left="0" w:firstLine="0"/>
              <w:contextualSpacing w:val="0"/>
              <w:rPr>
                <w:rFonts w:ascii="Times New Roman" w:hAnsi="Times New Roman" w:cs="Times New Roman"/>
                <w:sz w:val="18"/>
                <w:szCs w:val="18"/>
              </w:rPr>
            </w:pPr>
            <w:r w:rsidRPr="00DC4A4B">
              <w:rPr>
                <w:rFonts w:ascii="Times New Roman" w:hAnsi="Times New Roman" w:cs="Times New Roman"/>
                <w:color w:val="211D1E"/>
                <w:sz w:val="18"/>
                <w:szCs w:val="18"/>
              </w:rPr>
              <w:t>Темп на демографско остаряване</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101.0</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106.2</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102.2</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101.4</w:t>
            </w:r>
          </w:p>
        </w:tc>
      </w:tr>
      <w:tr w:rsidR="00AE0F90" w:rsidRPr="00DC4A4B" w:rsidTr="00197DD9">
        <w:trPr>
          <w:trHeight w:hRule="exact" w:val="454"/>
        </w:trPr>
        <w:tc>
          <w:tcPr>
            <w:tcW w:w="4698" w:type="dxa"/>
            <w:vAlign w:val="center"/>
          </w:tcPr>
          <w:p w:rsidR="00AE0F90" w:rsidRPr="00DC4A4B" w:rsidRDefault="00AE0F90" w:rsidP="00197DD9">
            <w:pPr>
              <w:pStyle w:val="ListParagraph"/>
              <w:spacing w:after="0"/>
              <w:ind w:left="0" w:firstLine="0"/>
              <w:contextualSpacing w:val="0"/>
              <w:rPr>
                <w:rFonts w:ascii="Times New Roman" w:hAnsi="Times New Roman" w:cs="Times New Roman"/>
                <w:sz w:val="18"/>
                <w:szCs w:val="18"/>
              </w:rPr>
            </w:pPr>
            <w:r w:rsidRPr="00DC4A4B">
              <w:rPr>
                <w:rFonts w:ascii="Times New Roman" w:hAnsi="Times New Roman" w:cs="Times New Roman"/>
                <w:color w:val="211D1E"/>
                <w:sz w:val="18"/>
                <w:szCs w:val="18"/>
              </w:rPr>
              <w:t>Относителен дял на градското от общото население (%)</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71.1</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72.7</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73.1</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73.5</w:t>
            </w:r>
          </w:p>
        </w:tc>
      </w:tr>
      <w:tr w:rsidR="00AE0F90" w:rsidRPr="00DC4A4B" w:rsidTr="00197DD9">
        <w:trPr>
          <w:trHeight w:hRule="exact" w:val="454"/>
        </w:trPr>
        <w:tc>
          <w:tcPr>
            <w:tcW w:w="4698" w:type="dxa"/>
            <w:vAlign w:val="center"/>
          </w:tcPr>
          <w:p w:rsidR="00AE0F90" w:rsidRPr="00DC4A4B" w:rsidRDefault="00AE0F90" w:rsidP="00197DD9">
            <w:pPr>
              <w:pStyle w:val="ListParagraph"/>
              <w:spacing w:after="0"/>
              <w:ind w:left="0" w:firstLine="0"/>
              <w:contextualSpacing w:val="0"/>
              <w:rPr>
                <w:rFonts w:ascii="Times New Roman" w:hAnsi="Times New Roman" w:cs="Times New Roman"/>
                <w:sz w:val="18"/>
                <w:szCs w:val="18"/>
              </w:rPr>
            </w:pPr>
            <w:r w:rsidRPr="00DC4A4B">
              <w:rPr>
                <w:rFonts w:ascii="Times New Roman" w:hAnsi="Times New Roman" w:cs="Times New Roman"/>
                <w:color w:val="211D1E"/>
                <w:sz w:val="18"/>
                <w:szCs w:val="18"/>
              </w:rPr>
              <w:t>Раждаемост (на 1 000 души)</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10.2</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9.6</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9.4</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9.0</w:t>
            </w:r>
          </w:p>
        </w:tc>
      </w:tr>
      <w:tr w:rsidR="00AE0F90" w:rsidRPr="00DC4A4B" w:rsidTr="00197DD9">
        <w:trPr>
          <w:trHeight w:hRule="exact" w:val="454"/>
        </w:trPr>
        <w:tc>
          <w:tcPr>
            <w:tcW w:w="4698" w:type="dxa"/>
            <w:vAlign w:val="center"/>
          </w:tcPr>
          <w:p w:rsidR="00AE0F90" w:rsidRPr="00DC4A4B" w:rsidRDefault="00AE0F90" w:rsidP="00197DD9">
            <w:pPr>
              <w:pStyle w:val="ListParagraph"/>
              <w:spacing w:after="0"/>
              <w:ind w:left="0" w:firstLine="0"/>
              <w:contextualSpacing w:val="0"/>
              <w:rPr>
                <w:rFonts w:ascii="Times New Roman" w:hAnsi="Times New Roman" w:cs="Times New Roman"/>
                <w:sz w:val="18"/>
                <w:szCs w:val="18"/>
              </w:rPr>
            </w:pPr>
            <w:r w:rsidRPr="00DC4A4B">
              <w:rPr>
                <w:rFonts w:ascii="Times New Roman" w:hAnsi="Times New Roman" w:cs="Times New Roman"/>
                <w:color w:val="211D1E"/>
                <w:sz w:val="18"/>
                <w:szCs w:val="18"/>
              </w:rPr>
              <w:t>Смъртност (на 1 000 души)</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14.5</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14.7</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15.1</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15.5</w:t>
            </w:r>
          </w:p>
        </w:tc>
      </w:tr>
      <w:tr w:rsidR="00AE0F90" w:rsidRPr="00DC4A4B" w:rsidTr="00197DD9">
        <w:trPr>
          <w:trHeight w:hRule="exact" w:val="454"/>
        </w:trPr>
        <w:tc>
          <w:tcPr>
            <w:tcW w:w="4698" w:type="dxa"/>
            <w:vAlign w:val="center"/>
          </w:tcPr>
          <w:p w:rsidR="00AE0F90" w:rsidRPr="00DC4A4B" w:rsidRDefault="00AE0F90" w:rsidP="00197DD9">
            <w:pPr>
              <w:pStyle w:val="ListParagraph"/>
              <w:spacing w:after="0"/>
              <w:ind w:left="0" w:firstLine="0"/>
              <w:contextualSpacing w:val="0"/>
              <w:rPr>
                <w:rFonts w:ascii="Times New Roman" w:hAnsi="Times New Roman" w:cs="Times New Roman"/>
                <w:sz w:val="18"/>
                <w:szCs w:val="18"/>
              </w:rPr>
            </w:pPr>
            <w:r w:rsidRPr="00DC4A4B">
              <w:rPr>
                <w:rFonts w:ascii="Times New Roman" w:hAnsi="Times New Roman" w:cs="Times New Roman"/>
                <w:color w:val="211D1E"/>
                <w:sz w:val="18"/>
                <w:szCs w:val="18"/>
              </w:rPr>
              <w:t>Естествен прираст (на 1 000 души)</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-4.3</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-5.1</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-5.7</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-6.5</w:t>
            </w:r>
          </w:p>
        </w:tc>
      </w:tr>
      <w:tr w:rsidR="00AE0F90" w:rsidRPr="00DC4A4B" w:rsidTr="00197DD9">
        <w:trPr>
          <w:trHeight w:hRule="exact" w:val="454"/>
        </w:trPr>
        <w:tc>
          <w:tcPr>
            <w:tcW w:w="4698" w:type="dxa"/>
            <w:vAlign w:val="center"/>
          </w:tcPr>
          <w:p w:rsidR="00AE0F90" w:rsidRPr="00DC4A4B" w:rsidRDefault="00AE0F90" w:rsidP="00197DD9">
            <w:pPr>
              <w:pStyle w:val="ListParagraph"/>
              <w:spacing w:after="0"/>
              <w:ind w:left="0" w:firstLine="0"/>
              <w:contextualSpacing w:val="0"/>
              <w:rPr>
                <w:rFonts w:ascii="Times New Roman" w:hAnsi="Times New Roman" w:cs="Times New Roman"/>
                <w:sz w:val="18"/>
                <w:szCs w:val="18"/>
              </w:rPr>
            </w:pPr>
            <w:r w:rsidRPr="00DC4A4B">
              <w:rPr>
                <w:rFonts w:ascii="Times New Roman" w:hAnsi="Times New Roman" w:cs="Times New Roman"/>
                <w:color w:val="211D1E"/>
                <w:sz w:val="18"/>
                <w:szCs w:val="18"/>
              </w:rPr>
              <w:t xml:space="preserve">Детска смъртност (на 1 000 </w:t>
            </w:r>
            <w:proofErr w:type="spellStart"/>
            <w:r w:rsidRPr="00DC4A4B">
              <w:rPr>
                <w:rFonts w:ascii="Times New Roman" w:hAnsi="Times New Roman" w:cs="Times New Roman"/>
                <w:color w:val="211D1E"/>
                <w:sz w:val="18"/>
                <w:szCs w:val="18"/>
              </w:rPr>
              <w:t>живородени</w:t>
            </w:r>
            <w:proofErr w:type="spellEnd"/>
            <w:r w:rsidRPr="00DC4A4B">
              <w:rPr>
                <w:rFonts w:ascii="Times New Roman" w:hAnsi="Times New Roman" w:cs="Times New Roman"/>
                <w:color w:val="211D1E"/>
                <w:sz w:val="18"/>
                <w:szCs w:val="18"/>
              </w:rPr>
              <w:t>)</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8.6</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C4A4B">
              <w:rPr>
                <w:rFonts w:ascii="Times New Roman" w:hAnsi="Times New Roman" w:cs="Times New Roman"/>
                <w:sz w:val="18"/>
                <w:szCs w:val="18"/>
              </w:rPr>
              <w:t>8.5</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7.6</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6.4</w:t>
            </w:r>
          </w:p>
        </w:tc>
      </w:tr>
      <w:tr w:rsidR="00AE0F90" w:rsidRPr="00DC4A4B" w:rsidTr="00197DD9">
        <w:trPr>
          <w:trHeight w:hRule="exact" w:val="454"/>
        </w:trPr>
        <w:tc>
          <w:tcPr>
            <w:tcW w:w="4698" w:type="dxa"/>
            <w:vAlign w:val="center"/>
          </w:tcPr>
          <w:p w:rsidR="00AE0F90" w:rsidRPr="00D86531" w:rsidRDefault="00AE0F90" w:rsidP="00197DD9">
            <w:pPr>
              <w:pStyle w:val="ListParagraph"/>
              <w:spacing w:after="0"/>
              <w:ind w:left="0" w:firstLine="0"/>
              <w:contextualSpacing w:val="0"/>
              <w:rPr>
                <w:rFonts w:ascii="Times New Roman" w:hAnsi="Times New Roman" w:cs="Times New Roman"/>
                <w:sz w:val="18"/>
                <w:szCs w:val="18"/>
              </w:rPr>
            </w:pPr>
            <w:r w:rsidRPr="00D86531">
              <w:rPr>
                <w:rFonts w:ascii="Times New Roman" w:hAnsi="Times New Roman" w:cs="Times New Roman"/>
                <w:color w:val="211D1E"/>
                <w:sz w:val="18"/>
                <w:szCs w:val="18"/>
              </w:rPr>
              <w:t>Тотален коефициент на плодовитост</w:t>
            </w:r>
          </w:p>
        </w:tc>
        <w:tc>
          <w:tcPr>
            <w:tcW w:w="1114" w:type="dxa"/>
            <w:vAlign w:val="center"/>
          </w:tcPr>
          <w:p w:rsidR="00AE0F90" w:rsidRPr="00D86531" w:rsidRDefault="00AE0F90" w:rsidP="00197DD9">
            <w:pPr>
              <w:pStyle w:val="ListParagraph"/>
              <w:spacing w:after="0"/>
              <w:ind w:left="0"/>
              <w:jc w:val="right"/>
              <w:rPr>
                <w:rFonts w:ascii="Times New Roman" w:hAnsi="Times New Roman" w:cs="Times New Roman"/>
                <w:sz w:val="18"/>
                <w:szCs w:val="18"/>
              </w:rPr>
            </w:pPr>
            <w:r w:rsidRPr="00D86531">
              <w:rPr>
                <w:rFonts w:ascii="Times New Roman" w:hAnsi="Times New Roman" w:cs="Times New Roman"/>
                <w:sz w:val="18"/>
                <w:szCs w:val="18"/>
              </w:rPr>
              <w:t>1.56</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sidRPr="00D86531">
              <w:rPr>
                <w:rFonts w:ascii="Times New Roman" w:hAnsi="Times New Roman" w:cs="Times New Roman"/>
                <w:sz w:val="18"/>
                <w:szCs w:val="18"/>
              </w:rPr>
              <w:t>1.51</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1.53</w:t>
            </w:r>
          </w:p>
        </w:tc>
        <w:tc>
          <w:tcPr>
            <w:tcW w:w="1134" w:type="dxa"/>
            <w:vAlign w:val="center"/>
          </w:tcPr>
          <w:p w:rsidR="00AE0F90" w:rsidRPr="00D86531" w:rsidRDefault="00AE0F90" w:rsidP="00197DD9">
            <w:pPr>
              <w:pStyle w:val="ListParagraph"/>
              <w:spacing w:after="0"/>
              <w:ind w:left="0"/>
              <w:jc w:val="right"/>
              <w:rPr>
                <w:rFonts w:ascii="Times New Roman" w:hAnsi="Times New Roman" w:cs="Times New Roman"/>
                <w:sz w:val="18"/>
                <w:szCs w:val="18"/>
                <w:vertAlign w:val="superscript"/>
              </w:rPr>
            </w:pPr>
            <w:r>
              <w:rPr>
                <w:rFonts w:ascii="Times New Roman" w:hAnsi="Times New Roman" w:cs="Times New Roman"/>
                <w:sz w:val="18"/>
                <w:szCs w:val="18"/>
              </w:rPr>
              <w:t>1.54</w:t>
            </w:r>
            <w:r>
              <w:rPr>
                <w:rStyle w:val="FootnoteReference"/>
                <w:rFonts w:ascii="Times New Roman" w:hAnsi="Times New Roman"/>
                <w:sz w:val="18"/>
                <w:szCs w:val="18"/>
              </w:rPr>
              <w:footnoteReference w:id="18"/>
            </w:r>
          </w:p>
        </w:tc>
      </w:tr>
    </w:tbl>
    <w:p w:rsidR="00AE0F90" w:rsidRPr="00DC4A4B" w:rsidRDefault="00AE0F90" w:rsidP="00AE0F90">
      <w:pPr>
        <w:jc w:val="both"/>
        <w:rPr>
          <w:rFonts w:ascii="Times New Roman" w:hAnsi="Times New Roman"/>
        </w:rPr>
      </w:pPr>
    </w:p>
    <w:p w:rsidR="00AE0F90" w:rsidRPr="00DC4A4B" w:rsidRDefault="00AE0F90" w:rsidP="00AE0F90">
      <w:pPr>
        <w:jc w:val="both"/>
        <w:rPr>
          <w:rFonts w:ascii="Times New Roman" w:hAnsi="Times New Roman"/>
        </w:rPr>
      </w:pPr>
      <w:r w:rsidRPr="00DC4A4B">
        <w:rPr>
          <w:rFonts w:ascii="Times New Roman" w:hAnsi="Times New Roman"/>
        </w:rPr>
        <w:t xml:space="preserve">Паралелно с отрицателния естествен прираст, населението на страната е негативно повлияно и от протичащите </w:t>
      </w:r>
      <w:r w:rsidRPr="00DC4A4B">
        <w:rPr>
          <w:rFonts w:ascii="Times New Roman" w:hAnsi="Times New Roman"/>
          <w:b/>
          <w:color w:val="4F81BD"/>
        </w:rPr>
        <w:t>емиграционни процеси</w:t>
      </w:r>
      <w:r w:rsidRPr="00DC4A4B">
        <w:rPr>
          <w:rFonts w:ascii="Times New Roman" w:hAnsi="Times New Roman"/>
        </w:rPr>
        <w:t xml:space="preserve">, свързани с продължаващото изоставане в равнищата на доходите спрямо останалите държави – членки на ЕС. Само за четирите години след 01.01.2014 г., </w:t>
      </w:r>
      <w:r w:rsidRPr="00DC4A4B">
        <w:rPr>
          <w:rFonts w:ascii="Times New Roman" w:hAnsi="Times New Roman"/>
        </w:rPr>
        <w:lastRenderedPageBreak/>
        <w:t>когато европейският трудов пазар се отв</w:t>
      </w:r>
      <w:r>
        <w:rPr>
          <w:rFonts w:ascii="Times New Roman" w:hAnsi="Times New Roman"/>
        </w:rPr>
        <w:t>а</w:t>
      </w:r>
      <w:r w:rsidRPr="00DC4A4B">
        <w:rPr>
          <w:rFonts w:ascii="Times New Roman" w:hAnsi="Times New Roman"/>
        </w:rPr>
        <w:t>р</w:t>
      </w:r>
      <w:r>
        <w:rPr>
          <w:rFonts w:ascii="Times New Roman" w:hAnsi="Times New Roman"/>
        </w:rPr>
        <w:t>я</w:t>
      </w:r>
      <w:r w:rsidRPr="00DC4A4B">
        <w:rPr>
          <w:rFonts w:ascii="Times New Roman" w:hAnsi="Times New Roman"/>
        </w:rPr>
        <w:t xml:space="preserve"> напълно за българските работници, страната са напуснали 101 123 български граждани, като почти половината (44.7%) от тях са младежи до 30 г. Емигрирането на млади (и в много случаи високо образовани) хора влияе пряко и непосредствено на пазара на труда, но има и косвено отражение върху възпроизводството на населението, понижавайки потенциалната бъдеща раждаемост на населението.</w:t>
      </w:r>
    </w:p>
    <w:p w:rsidR="00AE0F90" w:rsidRPr="00DC4A4B" w:rsidRDefault="00AE0F90" w:rsidP="00AE0F90">
      <w:pPr>
        <w:jc w:val="both"/>
        <w:rPr>
          <w:rFonts w:ascii="Times New Roman" w:hAnsi="Times New Roman"/>
        </w:rPr>
      </w:pPr>
      <w:r w:rsidRPr="00DC4A4B">
        <w:rPr>
          <w:rFonts w:ascii="Times New Roman" w:hAnsi="Times New Roman"/>
          <w:b/>
          <w:color w:val="4F81BD"/>
        </w:rPr>
        <w:t>Имиграцията</w:t>
      </w:r>
      <w:r w:rsidRPr="00DC4A4B">
        <w:rPr>
          <w:rFonts w:ascii="Times New Roman" w:hAnsi="Times New Roman"/>
        </w:rPr>
        <w:t xml:space="preserve"> в страната е с ограничен размер и се определя от лица, идващи от страни с по-слабо икономическо и социално развитие. След достигнат пик от 17 113 чужди граждани, влезли на територията на страната през 2014 г., входящият поток имигранти без българско гражданство се стабилизира на около 12 000 души годишно. За отделни групи имиграцията в страната е с временен характер и България по-скоро се възприема като транзитна точка и място за подготовка на следваща емиграция.</w:t>
      </w:r>
    </w:p>
    <w:p w:rsidR="00AE0F90" w:rsidRPr="00DC4A4B" w:rsidRDefault="00AE0F90" w:rsidP="00AE0F90">
      <w:pPr>
        <w:jc w:val="both"/>
        <w:rPr>
          <w:rFonts w:ascii="Times New Roman" w:hAnsi="Times New Roman"/>
        </w:rPr>
      </w:pPr>
      <w:r w:rsidRPr="00DC4A4B">
        <w:rPr>
          <w:rFonts w:ascii="Times New Roman" w:hAnsi="Times New Roman"/>
        </w:rPr>
        <w:t xml:space="preserve">Населението </w:t>
      </w:r>
      <w:r w:rsidRPr="00DC4A4B">
        <w:rPr>
          <w:rFonts w:ascii="Times New Roman" w:hAnsi="Times New Roman"/>
          <w:b/>
          <w:color w:val="4F81BD"/>
        </w:rPr>
        <w:t>застарява</w:t>
      </w:r>
      <w:r w:rsidRPr="00DC4A4B">
        <w:rPr>
          <w:rFonts w:ascii="Times New Roman" w:hAnsi="Times New Roman"/>
        </w:rPr>
        <w:t xml:space="preserve"> с бързи темпове, увеличавайки предизвикателствата пред социалните системи и публичните финанси, при едновременно затрудняване на икономическия растеж. Относителният дял на населението в над трудоспособна възраст</w:t>
      </w:r>
      <w:r w:rsidRPr="00DC4A4B">
        <w:rPr>
          <w:rStyle w:val="FootnoteReference"/>
          <w:rFonts w:ascii="Times New Roman" w:hAnsi="Times New Roman"/>
        </w:rPr>
        <w:footnoteReference w:id="19"/>
      </w:r>
      <w:r w:rsidRPr="00DC4A4B">
        <w:rPr>
          <w:rFonts w:ascii="Times New Roman" w:hAnsi="Times New Roman"/>
        </w:rPr>
        <w:t xml:space="preserve"> нараства устойчиво през годините и достига 21% в края на 2017 г., докато населението в трудоспособна възраст намалява в абсолютен и относителен план (за последните десет години населението на възраст 15-64 години е намаляло с почти 600 000 души, а относителният му дял в общото население е намалял от 68.9% на 64.7%). Процесът на застаряване засяга всички райони на страната. Силно влошена е възрастовата характеристика на населението в Северозападен и Северен централен райони, където населението на 65</w:t>
      </w:r>
      <w:r>
        <w:rPr>
          <w:rFonts w:ascii="Times New Roman" w:hAnsi="Times New Roman"/>
        </w:rPr>
        <w:t xml:space="preserve"> и повече</w:t>
      </w:r>
      <w:r w:rsidRPr="00DC4A4B">
        <w:rPr>
          <w:rFonts w:ascii="Times New Roman" w:hAnsi="Times New Roman"/>
        </w:rPr>
        <w:t xml:space="preserve"> години е съответно 25.9% и 23.9%, докато в останалите райони е 20-21%. Коефициентът на възрастова зависимост</w:t>
      </w:r>
      <w:r w:rsidRPr="00DC4A4B">
        <w:rPr>
          <w:rStyle w:val="FootnoteReference"/>
          <w:rFonts w:ascii="Times New Roman" w:hAnsi="Times New Roman"/>
        </w:rPr>
        <w:footnoteReference w:id="20"/>
      </w:r>
      <w:r w:rsidRPr="00DC4A4B">
        <w:rPr>
          <w:rFonts w:ascii="Times New Roman" w:hAnsi="Times New Roman"/>
        </w:rPr>
        <w:t xml:space="preserve"> достига 54.5% в края на 2017 г., отбелязвайки почти 10 п</w:t>
      </w:r>
      <w:r>
        <w:rPr>
          <w:rFonts w:ascii="Times New Roman" w:hAnsi="Times New Roman"/>
        </w:rPr>
        <w:t>роцентни пункта</w:t>
      </w:r>
      <w:r w:rsidRPr="00DC4A4B">
        <w:rPr>
          <w:rFonts w:ascii="Times New Roman" w:hAnsi="Times New Roman"/>
        </w:rPr>
        <w:t xml:space="preserve"> нарастване през последните десет години. За същия период, коефициентът на възрастова зависимост в ЕС отбелязва два пъти по-плавно нарастване до 53.9%. През 2017 г. средната възраст на населението в страната е 43.9 години, при 42.8 години – средно за ЕС, като единствено Германия, Италия, Португалия и Гърция имат население с по-висока средна възраст в рамките на ЕС. В резултат на значителната концентрация на населението в средните възрастови групи процесът на демографско остаряване ще продължи да се задълбочава в средносрочен и дългосрочен план.</w:t>
      </w:r>
    </w:p>
    <w:p w:rsidR="00AE0F90" w:rsidRPr="00DC4A4B" w:rsidRDefault="00AE0F90" w:rsidP="00AE0F90">
      <w:pPr>
        <w:jc w:val="both"/>
        <w:rPr>
          <w:rFonts w:ascii="Times New Roman" w:hAnsi="Times New Roman"/>
        </w:rPr>
      </w:pPr>
      <w:r w:rsidRPr="00DC4A4B">
        <w:rPr>
          <w:rFonts w:ascii="Times New Roman" w:hAnsi="Times New Roman"/>
        </w:rPr>
        <w:t xml:space="preserve">Запазва се тенденцията на </w:t>
      </w:r>
      <w:r w:rsidRPr="00DC4A4B">
        <w:rPr>
          <w:rFonts w:ascii="Times New Roman" w:hAnsi="Times New Roman"/>
          <w:b/>
          <w:color w:val="4F81BD"/>
        </w:rPr>
        <w:t>урбанизация</w:t>
      </w:r>
      <w:r w:rsidRPr="00DC4A4B">
        <w:rPr>
          <w:rFonts w:ascii="Times New Roman" w:hAnsi="Times New Roman"/>
        </w:rPr>
        <w:t xml:space="preserve"> – увеличаване на относителния дял на градското население и намаляване на населението в селата. Към края на 2017 г. в градовете живеят 5 1</w:t>
      </w:r>
      <w:r>
        <w:rPr>
          <w:rFonts w:ascii="Times New Roman" w:hAnsi="Times New Roman"/>
        </w:rPr>
        <w:t>93</w:t>
      </w:r>
      <w:r w:rsidRPr="00DC4A4B">
        <w:rPr>
          <w:rFonts w:ascii="Times New Roman" w:hAnsi="Times New Roman"/>
        </w:rPr>
        <w:t xml:space="preserve"> </w:t>
      </w:r>
      <w:r>
        <w:rPr>
          <w:rFonts w:ascii="Times New Roman" w:hAnsi="Times New Roman"/>
        </w:rPr>
        <w:t>0</w:t>
      </w:r>
      <w:r w:rsidRPr="00DC4A4B">
        <w:rPr>
          <w:rFonts w:ascii="Times New Roman" w:hAnsi="Times New Roman"/>
        </w:rPr>
        <w:t>7</w:t>
      </w:r>
      <w:r>
        <w:rPr>
          <w:rFonts w:ascii="Times New Roman" w:hAnsi="Times New Roman"/>
        </w:rPr>
        <w:t>0 души, или 73.4</w:t>
      </w:r>
      <w:r w:rsidRPr="00DC4A4B">
        <w:rPr>
          <w:rFonts w:ascii="Times New Roman" w:hAnsi="Times New Roman"/>
        </w:rPr>
        <w:t>%</w:t>
      </w:r>
      <w:r>
        <w:rPr>
          <w:rFonts w:ascii="Times New Roman" w:hAnsi="Times New Roman"/>
        </w:rPr>
        <w:t xml:space="preserve"> от цялото население</w:t>
      </w:r>
      <w:r w:rsidRPr="00DC4A4B">
        <w:rPr>
          <w:rFonts w:ascii="Times New Roman" w:hAnsi="Times New Roman"/>
        </w:rPr>
        <w:t>, а в селата живеят 1 88</w:t>
      </w:r>
      <w:r>
        <w:rPr>
          <w:rFonts w:ascii="Times New Roman" w:hAnsi="Times New Roman"/>
        </w:rPr>
        <w:t>2</w:t>
      </w:r>
      <w:r w:rsidRPr="00DC4A4B">
        <w:rPr>
          <w:rFonts w:ascii="Times New Roman" w:hAnsi="Times New Roman"/>
        </w:rPr>
        <w:t xml:space="preserve"> </w:t>
      </w:r>
      <w:r>
        <w:rPr>
          <w:rFonts w:ascii="Times New Roman" w:hAnsi="Times New Roman"/>
        </w:rPr>
        <w:t>78</w:t>
      </w:r>
      <w:r w:rsidRPr="00DC4A4B">
        <w:rPr>
          <w:rFonts w:ascii="Times New Roman" w:hAnsi="Times New Roman"/>
        </w:rPr>
        <w:t>7  души, или 26.</w:t>
      </w:r>
      <w:r>
        <w:rPr>
          <w:rFonts w:ascii="Times New Roman" w:hAnsi="Times New Roman"/>
        </w:rPr>
        <w:t>6</w:t>
      </w:r>
      <w:r w:rsidRPr="00DC4A4B">
        <w:rPr>
          <w:rFonts w:ascii="Times New Roman" w:hAnsi="Times New Roman"/>
        </w:rPr>
        <w:t>% от населението на страната. Най-висока степен на гъстота и урбанизация е достигната в Югозападен район, докато на обратния полюс е Северозападния</w:t>
      </w:r>
      <w:r>
        <w:rPr>
          <w:rFonts w:ascii="Times New Roman" w:hAnsi="Times New Roman"/>
        </w:rPr>
        <w:t>т</w:t>
      </w:r>
      <w:r w:rsidRPr="00DC4A4B">
        <w:rPr>
          <w:rFonts w:ascii="Times New Roman" w:hAnsi="Times New Roman"/>
        </w:rPr>
        <w:t xml:space="preserve"> район. </w:t>
      </w:r>
      <w:r w:rsidRPr="00DC4A4B">
        <w:rPr>
          <w:rFonts w:ascii="Times New Roman" w:eastAsia="Times New Roman" w:hAnsi="Times New Roman"/>
          <w:color w:val="000000"/>
          <w:lang w:eastAsia="bg-BG"/>
        </w:rPr>
        <w:t>К</w:t>
      </w:r>
      <w:r w:rsidRPr="00DC4A4B">
        <w:rPr>
          <w:rFonts w:ascii="Times New Roman" w:hAnsi="Times New Roman"/>
        </w:rPr>
        <w:t>онцентрацията на населението в 7-те големи града на страната и обезлюдяването на големи територии в страната е тенденция, което води до задълбочаване на регионалните и териториални диспропорции в демографското – а оттам и на социално-икономическото – развитие на българските райони.</w:t>
      </w:r>
    </w:p>
    <w:p w:rsidR="00AE0F90" w:rsidRPr="00996CC9" w:rsidRDefault="00AE0F90" w:rsidP="00AE0F90">
      <w:pPr>
        <w:pStyle w:val="Heading3"/>
        <w:numPr>
          <w:ilvl w:val="2"/>
          <w:numId w:val="16"/>
        </w:numPr>
        <w:rPr>
          <w:color w:val="1F497D"/>
        </w:rPr>
      </w:pPr>
      <w:bookmarkStart w:id="13" w:name="_Toc525196965"/>
      <w:bookmarkStart w:id="14" w:name="_Toc791806"/>
      <w:r w:rsidRPr="00996CC9">
        <w:rPr>
          <w:color w:val="1F497D"/>
        </w:rPr>
        <w:t>Образование</w:t>
      </w:r>
      <w:bookmarkEnd w:id="13"/>
      <w:bookmarkEnd w:id="14"/>
      <w:r w:rsidRPr="00996CC9">
        <w:rPr>
          <w:color w:val="1F497D"/>
        </w:rPr>
        <w:t xml:space="preserve"> </w:t>
      </w:r>
    </w:p>
    <w:p w:rsidR="00AE0F90" w:rsidRDefault="00AE0F90" w:rsidP="00AE0F90">
      <w:pPr>
        <w:jc w:val="both"/>
        <w:rPr>
          <w:rFonts w:ascii="Times New Roman" w:hAnsi="Times New Roman"/>
          <w:i/>
        </w:rPr>
      </w:pPr>
      <w:r>
        <w:rPr>
          <w:rFonts w:ascii="Times New Roman" w:hAnsi="Times New Roman"/>
          <w:i/>
        </w:rPr>
        <w:t>Образователната структура на населението се подобрява, но неравномерно в териториален аспект и по етнически признак. П</w:t>
      </w:r>
      <w:r w:rsidRPr="00EB232A">
        <w:rPr>
          <w:rFonts w:ascii="Times New Roman" w:hAnsi="Times New Roman"/>
          <w:i/>
        </w:rPr>
        <w:t>родължават да са налице тревожни сигнали за качеството на образованието</w:t>
      </w:r>
      <w:r>
        <w:rPr>
          <w:rFonts w:ascii="Times New Roman" w:hAnsi="Times New Roman"/>
          <w:i/>
        </w:rPr>
        <w:t xml:space="preserve"> на всички нива.</w:t>
      </w:r>
      <w:r w:rsidRPr="00EB232A">
        <w:rPr>
          <w:rFonts w:ascii="Times New Roman" w:hAnsi="Times New Roman"/>
          <w:i/>
        </w:rPr>
        <w:t xml:space="preserve"> </w:t>
      </w:r>
      <w:r w:rsidRPr="00BD07B2">
        <w:rPr>
          <w:rFonts w:ascii="Times New Roman" w:hAnsi="Times New Roman"/>
          <w:i/>
        </w:rPr>
        <w:t xml:space="preserve">Образователната система не осигурява </w:t>
      </w:r>
      <w:r>
        <w:rPr>
          <w:rFonts w:ascii="Times New Roman" w:hAnsi="Times New Roman"/>
          <w:i/>
        </w:rPr>
        <w:t>в адекватна степен</w:t>
      </w:r>
      <w:r w:rsidRPr="00BD07B2">
        <w:rPr>
          <w:rFonts w:ascii="Times New Roman" w:hAnsi="Times New Roman"/>
          <w:i/>
        </w:rPr>
        <w:t xml:space="preserve"> необходимите умения,</w:t>
      </w:r>
      <w:r>
        <w:rPr>
          <w:rFonts w:ascii="Times New Roman" w:hAnsi="Times New Roman"/>
          <w:i/>
        </w:rPr>
        <w:t xml:space="preserve"> а м</w:t>
      </w:r>
      <w:r w:rsidRPr="00BD07B2">
        <w:rPr>
          <w:rFonts w:ascii="Times New Roman" w:hAnsi="Times New Roman"/>
          <w:i/>
        </w:rPr>
        <w:t xml:space="preserve">ерките, насочени към отстраняване на недостига на </w:t>
      </w:r>
      <w:r>
        <w:rPr>
          <w:rFonts w:ascii="Times New Roman" w:hAnsi="Times New Roman"/>
          <w:i/>
        </w:rPr>
        <w:t>тези уме</w:t>
      </w:r>
      <w:r w:rsidRPr="00BD07B2">
        <w:rPr>
          <w:rFonts w:ascii="Times New Roman" w:hAnsi="Times New Roman"/>
          <w:i/>
        </w:rPr>
        <w:t xml:space="preserve">ния, </w:t>
      </w:r>
      <w:r>
        <w:rPr>
          <w:rFonts w:ascii="Times New Roman" w:hAnsi="Times New Roman"/>
          <w:i/>
        </w:rPr>
        <w:t>са с ограничен обхват</w:t>
      </w:r>
      <w:r w:rsidRPr="00BD07B2">
        <w:rPr>
          <w:rFonts w:ascii="Times New Roman" w:hAnsi="Times New Roman"/>
          <w:i/>
        </w:rPr>
        <w:t xml:space="preserve"> </w:t>
      </w:r>
      <w:r>
        <w:rPr>
          <w:rFonts w:ascii="Times New Roman" w:hAnsi="Times New Roman"/>
          <w:i/>
        </w:rPr>
        <w:t>и</w:t>
      </w:r>
      <w:r w:rsidRPr="00BD07B2">
        <w:rPr>
          <w:rFonts w:ascii="Times New Roman" w:hAnsi="Times New Roman"/>
          <w:i/>
        </w:rPr>
        <w:t xml:space="preserve"> </w:t>
      </w:r>
      <w:r>
        <w:rPr>
          <w:rFonts w:ascii="Times New Roman" w:hAnsi="Times New Roman"/>
          <w:i/>
        </w:rPr>
        <w:t>ефективност</w:t>
      </w:r>
      <w:r w:rsidRPr="00BD07B2">
        <w:rPr>
          <w:rFonts w:ascii="Times New Roman" w:hAnsi="Times New Roman"/>
          <w:i/>
        </w:rPr>
        <w:t xml:space="preserve">. </w:t>
      </w:r>
      <w:r>
        <w:rPr>
          <w:rFonts w:ascii="Times New Roman" w:hAnsi="Times New Roman"/>
          <w:i/>
        </w:rPr>
        <w:t>Въпреки усилията обхватът на началните нива на образователната система се стеснява, при намаляващи нива на записване и все още висок дял на преждевременно напускащите училище.</w:t>
      </w:r>
      <w:r w:rsidRPr="002655CD">
        <w:rPr>
          <w:rFonts w:ascii="Times New Roman" w:hAnsi="Times New Roman"/>
          <w:i/>
        </w:rPr>
        <w:t xml:space="preserve"> </w:t>
      </w:r>
      <w:r>
        <w:rPr>
          <w:rFonts w:ascii="Times New Roman" w:hAnsi="Times New Roman"/>
          <w:i/>
        </w:rPr>
        <w:t>К</w:t>
      </w:r>
      <w:r w:rsidRPr="002655CD">
        <w:rPr>
          <w:rFonts w:ascii="Times New Roman" w:hAnsi="Times New Roman"/>
          <w:i/>
        </w:rPr>
        <w:t>ачество</w:t>
      </w:r>
      <w:r>
        <w:rPr>
          <w:rFonts w:ascii="Times New Roman" w:hAnsi="Times New Roman"/>
          <w:i/>
        </w:rPr>
        <w:t xml:space="preserve">то </w:t>
      </w:r>
      <w:r w:rsidRPr="002655CD">
        <w:rPr>
          <w:rFonts w:ascii="Times New Roman" w:hAnsi="Times New Roman"/>
          <w:i/>
        </w:rPr>
        <w:t>на образователната услуга, предоставяна в системата на професионалното образование и обучение</w:t>
      </w:r>
      <w:r>
        <w:rPr>
          <w:rFonts w:ascii="Times New Roman" w:hAnsi="Times New Roman"/>
          <w:i/>
        </w:rPr>
        <w:t xml:space="preserve">, все още не отговаря на изискванията на </w:t>
      </w:r>
      <w:r>
        <w:rPr>
          <w:rFonts w:ascii="Times New Roman" w:hAnsi="Times New Roman"/>
          <w:i/>
        </w:rPr>
        <w:lastRenderedPageBreak/>
        <w:t>пазара на труда. Силно фрагментираната с</w:t>
      </w:r>
      <w:r w:rsidRPr="002655CD">
        <w:rPr>
          <w:rFonts w:ascii="Times New Roman" w:hAnsi="Times New Roman"/>
          <w:i/>
        </w:rPr>
        <w:t>истема на висшето образование</w:t>
      </w:r>
      <w:r>
        <w:rPr>
          <w:rFonts w:ascii="Times New Roman" w:hAnsi="Times New Roman"/>
          <w:i/>
        </w:rPr>
        <w:t xml:space="preserve"> е с </w:t>
      </w:r>
      <w:r w:rsidRPr="002655CD">
        <w:rPr>
          <w:rFonts w:ascii="Times New Roman" w:hAnsi="Times New Roman"/>
          <w:i/>
        </w:rPr>
        <w:t>ниска и намаляваща ефективност на инвестициите в сектора</w:t>
      </w:r>
      <w:r>
        <w:rPr>
          <w:rFonts w:ascii="Times New Roman" w:hAnsi="Times New Roman"/>
          <w:i/>
        </w:rPr>
        <w:t>,</w:t>
      </w:r>
      <w:r w:rsidRPr="00005B2B">
        <w:rPr>
          <w:rFonts w:ascii="Times New Roman" w:hAnsi="Times New Roman"/>
          <w:i/>
        </w:rPr>
        <w:t xml:space="preserve"> при</w:t>
      </w:r>
      <w:r>
        <w:rPr>
          <w:rFonts w:ascii="Times New Roman" w:hAnsi="Times New Roman"/>
          <w:i/>
        </w:rPr>
        <w:t xml:space="preserve"> липса на реални стимули за повишаване на качеството</w:t>
      </w:r>
      <w:r w:rsidRPr="00005B2B">
        <w:rPr>
          <w:rFonts w:ascii="Times New Roman" w:hAnsi="Times New Roman"/>
          <w:i/>
        </w:rPr>
        <w:t xml:space="preserve"> и приложимостта на предлаганите образователни програми</w:t>
      </w:r>
      <w:r>
        <w:rPr>
          <w:rFonts w:ascii="Times New Roman" w:hAnsi="Times New Roman"/>
          <w:i/>
        </w:rPr>
        <w:t>. У</w:t>
      </w:r>
      <w:r w:rsidRPr="000F7A0D">
        <w:rPr>
          <w:rFonts w:ascii="Times New Roman" w:hAnsi="Times New Roman"/>
          <w:i/>
        </w:rPr>
        <w:t>частие</w:t>
      </w:r>
      <w:r>
        <w:rPr>
          <w:rFonts w:ascii="Times New Roman" w:hAnsi="Times New Roman"/>
          <w:i/>
        </w:rPr>
        <w:t>то</w:t>
      </w:r>
      <w:r w:rsidRPr="000F7A0D">
        <w:rPr>
          <w:rFonts w:ascii="Times New Roman" w:hAnsi="Times New Roman"/>
          <w:i/>
        </w:rPr>
        <w:t xml:space="preserve"> в </w:t>
      </w:r>
      <w:r>
        <w:rPr>
          <w:rFonts w:ascii="Times New Roman" w:hAnsi="Times New Roman"/>
          <w:i/>
        </w:rPr>
        <w:t>различни форми на учене през целия живот остава н</w:t>
      </w:r>
      <w:r w:rsidRPr="000F7A0D">
        <w:rPr>
          <w:rFonts w:ascii="Times New Roman" w:hAnsi="Times New Roman"/>
          <w:i/>
        </w:rPr>
        <w:t xml:space="preserve">езадоволително </w:t>
      </w:r>
      <w:r>
        <w:rPr>
          <w:rFonts w:ascii="Times New Roman" w:hAnsi="Times New Roman"/>
          <w:i/>
        </w:rPr>
        <w:t>слабо. Н</w:t>
      </w:r>
      <w:r w:rsidRPr="007B69E4">
        <w:rPr>
          <w:rFonts w:ascii="Times New Roman" w:hAnsi="Times New Roman"/>
          <w:i/>
        </w:rPr>
        <w:t>иското ефективно предлагане на възможности за УЦЖ е съществена пречка пред икономическия растеж</w:t>
      </w:r>
      <w:r>
        <w:rPr>
          <w:rFonts w:ascii="Times New Roman" w:hAnsi="Times New Roman"/>
          <w:i/>
        </w:rPr>
        <w:t xml:space="preserve">, </w:t>
      </w:r>
      <w:proofErr w:type="spellStart"/>
      <w:r>
        <w:rPr>
          <w:rFonts w:ascii="Times New Roman" w:hAnsi="Times New Roman"/>
          <w:i/>
        </w:rPr>
        <w:t>т.к</w:t>
      </w:r>
      <w:proofErr w:type="spellEnd"/>
      <w:r>
        <w:rPr>
          <w:rFonts w:ascii="Times New Roman" w:hAnsi="Times New Roman"/>
          <w:i/>
        </w:rPr>
        <w:t xml:space="preserve">. </w:t>
      </w:r>
      <w:r w:rsidRPr="007B69E4">
        <w:rPr>
          <w:rFonts w:ascii="Times New Roman" w:hAnsi="Times New Roman"/>
          <w:i/>
        </w:rPr>
        <w:t xml:space="preserve">намалява способността на заетите да се прехвърлят при работодатели, сектори и райони с по-висока добавена стойност и не позволява на безработните и икономически неактивните нискоквалифицирани работници да бъдат интегрирани отново на пазара на труда след получаване на желани от пазара умения. </w:t>
      </w:r>
      <w:r>
        <w:rPr>
          <w:rFonts w:ascii="Times New Roman" w:hAnsi="Times New Roman"/>
          <w:i/>
        </w:rPr>
        <w:t xml:space="preserve">Налице е необходимост от предоставяне на адекватни стимули и достатъчна свобода и гъвкавост на доставчиците на обучение за адресиране на незадоволените нужди на пазара на труда. Особено належащо е преодоляването на </w:t>
      </w:r>
      <w:r w:rsidRPr="000F7A0D">
        <w:rPr>
          <w:rFonts w:ascii="Times New Roman" w:hAnsi="Times New Roman"/>
          <w:i/>
        </w:rPr>
        <w:t xml:space="preserve">ниското ниво на компютърни и </w:t>
      </w:r>
      <w:r w:rsidR="00F70070">
        <w:rPr>
          <w:rFonts w:ascii="Times New Roman" w:hAnsi="Times New Roman"/>
          <w:i/>
        </w:rPr>
        <w:t>цифрови</w:t>
      </w:r>
      <w:r w:rsidR="00F70070" w:rsidRPr="000F7A0D">
        <w:rPr>
          <w:rFonts w:ascii="Times New Roman" w:hAnsi="Times New Roman"/>
          <w:i/>
        </w:rPr>
        <w:t xml:space="preserve"> </w:t>
      </w:r>
      <w:r w:rsidRPr="000F7A0D">
        <w:rPr>
          <w:rFonts w:ascii="Times New Roman" w:hAnsi="Times New Roman"/>
          <w:i/>
        </w:rPr>
        <w:t>умения</w:t>
      </w:r>
      <w:r w:rsidRPr="00062A45">
        <w:rPr>
          <w:rFonts w:ascii="Times New Roman" w:hAnsi="Times New Roman"/>
          <w:i/>
        </w:rPr>
        <w:t xml:space="preserve"> </w:t>
      </w:r>
      <w:r w:rsidRPr="00B8337A">
        <w:rPr>
          <w:rFonts w:ascii="Times New Roman" w:hAnsi="Times New Roman"/>
          <w:i/>
        </w:rPr>
        <w:t>на човешките ресурси в страната</w:t>
      </w:r>
      <w:r w:rsidRPr="000F7A0D">
        <w:rPr>
          <w:rFonts w:ascii="Times New Roman" w:hAnsi="Times New Roman"/>
          <w:i/>
        </w:rPr>
        <w:t>, което препятства широкото използване на ИКТ и базираните на тях услуги и постигането на цифров растеж</w:t>
      </w:r>
      <w:r>
        <w:rPr>
          <w:rFonts w:ascii="Times New Roman" w:hAnsi="Times New Roman"/>
          <w:i/>
        </w:rPr>
        <w:t>.</w:t>
      </w:r>
    </w:p>
    <w:p w:rsidR="00AE0F90" w:rsidRPr="00DC4A4B" w:rsidRDefault="00AE0F90" w:rsidP="00AE0F90">
      <w:pPr>
        <w:pStyle w:val="Default"/>
        <w:spacing w:after="200" w:line="269" w:lineRule="auto"/>
        <w:jc w:val="both"/>
        <w:rPr>
          <w:rFonts w:ascii="Times New Roman" w:hAnsi="Times New Roman" w:cs="Times New Roman"/>
          <w:sz w:val="22"/>
          <w:szCs w:val="22"/>
        </w:rPr>
      </w:pPr>
      <w:r w:rsidRPr="00DC4A4B">
        <w:rPr>
          <w:rFonts w:ascii="Times New Roman" w:hAnsi="Times New Roman" w:cs="Times New Roman"/>
          <w:sz w:val="22"/>
          <w:szCs w:val="22"/>
        </w:rPr>
        <w:t>Предвид негативните демографски тенденции за страната, нивото на образователните характеристики на населението е ключова предпоставка за качеството на човешкия ресурс. Държавните разходи за образование остават относително ниски и възлизат на средно 3.</w:t>
      </w:r>
      <w:r>
        <w:rPr>
          <w:rFonts w:ascii="Times New Roman" w:hAnsi="Times New Roman" w:cs="Times New Roman"/>
          <w:sz w:val="22"/>
          <w:szCs w:val="22"/>
        </w:rPr>
        <w:t>7</w:t>
      </w:r>
      <w:r w:rsidRPr="00DC4A4B">
        <w:rPr>
          <w:rFonts w:ascii="Times New Roman" w:hAnsi="Times New Roman" w:cs="Times New Roman"/>
          <w:sz w:val="22"/>
          <w:szCs w:val="22"/>
        </w:rPr>
        <w:t xml:space="preserve">% от БВП за последните десет години, като показателят за </w:t>
      </w:r>
      <w:r>
        <w:rPr>
          <w:rFonts w:ascii="Times New Roman" w:hAnsi="Times New Roman" w:cs="Times New Roman"/>
          <w:sz w:val="22"/>
          <w:szCs w:val="22"/>
        </w:rPr>
        <w:t>общността</w:t>
      </w:r>
      <w:r w:rsidRPr="00DC4A4B">
        <w:rPr>
          <w:rFonts w:ascii="Times New Roman" w:hAnsi="Times New Roman" w:cs="Times New Roman"/>
          <w:sz w:val="22"/>
          <w:szCs w:val="22"/>
        </w:rPr>
        <w:t xml:space="preserve"> е 5% от БВП. </w:t>
      </w:r>
      <w:r>
        <w:rPr>
          <w:rFonts w:ascii="Times New Roman" w:hAnsi="Times New Roman" w:cs="Times New Roman"/>
          <w:sz w:val="22"/>
          <w:szCs w:val="22"/>
        </w:rPr>
        <w:t>В рамките на ЕС, единствено Румъния (3.5% от БВП) отделя по-малко разходи за образование, докато нивото в скандинавските държави е почти двойно по-високо от регистрираното у нас.</w:t>
      </w:r>
    </w:p>
    <w:p w:rsidR="00AE0F90" w:rsidRPr="00DC4A4B" w:rsidRDefault="00AE0F90" w:rsidP="00AE0F90">
      <w:pPr>
        <w:jc w:val="both"/>
        <w:rPr>
          <w:rFonts w:ascii="Times New Roman" w:hAnsi="Times New Roman"/>
        </w:rPr>
      </w:pPr>
      <w:r w:rsidRPr="00DC4A4B">
        <w:rPr>
          <w:rFonts w:ascii="Times New Roman" w:hAnsi="Times New Roman"/>
        </w:rPr>
        <w:t xml:space="preserve">През последните години се наблюдава трайна тенденция на подобряване на </w:t>
      </w:r>
      <w:r w:rsidRPr="00DC4A4B">
        <w:rPr>
          <w:rFonts w:ascii="Times New Roman" w:hAnsi="Times New Roman"/>
          <w:b/>
          <w:color w:val="4F81BD"/>
        </w:rPr>
        <w:t>образователната структура</w:t>
      </w:r>
      <w:r w:rsidRPr="00DC4A4B">
        <w:rPr>
          <w:rFonts w:ascii="Times New Roman" w:hAnsi="Times New Roman"/>
        </w:rPr>
        <w:t xml:space="preserve"> на населението, при нарастване на дел</w:t>
      </w:r>
      <w:r>
        <w:rPr>
          <w:rFonts w:ascii="Times New Roman" w:hAnsi="Times New Roman"/>
        </w:rPr>
        <w:t>а</w:t>
      </w:r>
      <w:r w:rsidRPr="00DC4A4B">
        <w:rPr>
          <w:rFonts w:ascii="Times New Roman" w:hAnsi="Times New Roman"/>
        </w:rPr>
        <w:t xml:space="preserve"> на завършилите висше образование и намаляване на броя на хората с основно и по-ниско образование, но страната все още изостава от средните за ЕС стойности. През 2017 г. 27.8% от населението</w:t>
      </w:r>
      <w:r w:rsidRPr="00DC4A4B">
        <w:rPr>
          <w:rStyle w:val="FootnoteReference"/>
          <w:rFonts w:ascii="Times New Roman" w:hAnsi="Times New Roman"/>
        </w:rPr>
        <w:footnoteReference w:id="21"/>
      </w:r>
      <w:r w:rsidRPr="00DC4A4B">
        <w:rPr>
          <w:rFonts w:ascii="Times New Roman" w:hAnsi="Times New Roman"/>
        </w:rPr>
        <w:t xml:space="preserve"> е с висше образование (при 31.4% в ЕС), а относителният дял на населението с основно и по-ниско образование достига 17.2%. Поради влиянието на столицата, най-добрите образователни характеристики на населението в страната има Югозападния</w:t>
      </w:r>
      <w:r>
        <w:rPr>
          <w:rFonts w:ascii="Times New Roman" w:hAnsi="Times New Roman"/>
        </w:rPr>
        <w:t>т</w:t>
      </w:r>
      <w:r w:rsidRPr="00DC4A4B">
        <w:rPr>
          <w:rFonts w:ascii="Times New Roman" w:hAnsi="Times New Roman"/>
        </w:rPr>
        <w:t xml:space="preserve"> район, където населението с висше образование достига 39.2%. С относително добри показатели за висше образование е Североизточен район (26.9%). В най-неблагоприятно положение по отношение на образователните характеристики на населението са Северозападен (19.9%) и Югоизточен (21.7%) райони. По данни от последното национално преброяване относителният дял на населението в селата с поне средно образование (40.1%) е почти два пъти по-нисък от стойността на показателя в градовете.</w:t>
      </w:r>
      <w:r w:rsidRPr="00DC4A4B">
        <w:rPr>
          <w:rFonts w:ascii="Times New Roman" w:hAnsi="Times New Roman"/>
          <w:lang w:val="en-US"/>
        </w:rPr>
        <w:t xml:space="preserve"> </w:t>
      </w:r>
      <w:r w:rsidRPr="00DC4A4B">
        <w:rPr>
          <w:rFonts w:ascii="Times New Roman" w:hAnsi="Times New Roman"/>
        </w:rPr>
        <w:t>Тревожна е образователната структура на ромската и турската етнически общности, като по данни от преброяването през 2011 г. съответно 93% и 70% от представителите на тези етнически групи не завършват средното си образование, спрямо около 30% за етническите българи. Всяко четвърто ромско дете и всяко девето турско дете на възраст 7-15 години никога не са посещавали училище, в сравнение с 5.6% от децата в българската етническа група</w:t>
      </w:r>
      <w:r w:rsidR="00ED3E87">
        <w:rPr>
          <w:rStyle w:val="FootnoteReference"/>
          <w:rFonts w:ascii="Times New Roman" w:hAnsi="Times New Roman"/>
        </w:rPr>
        <w:footnoteReference w:id="22"/>
      </w:r>
      <w:r w:rsidRPr="00DC4A4B">
        <w:rPr>
          <w:rFonts w:ascii="Times New Roman" w:hAnsi="Times New Roman"/>
        </w:rPr>
        <w:t>.</w:t>
      </w:r>
    </w:p>
    <w:p w:rsidR="00AE0F90" w:rsidRDefault="00AE0F90" w:rsidP="00AE0F90">
      <w:pPr>
        <w:jc w:val="both"/>
        <w:rPr>
          <w:rFonts w:ascii="Times New Roman" w:hAnsi="Times New Roman"/>
        </w:rPr>
      </w:pPr>
      <w:r w:rsidRPr="00DC4A4B">
        <w:rPr>
          <w:rFonts w:ascii="Times New Roman" w:hAnsi="Times New Roman"/>
        </w:rPr>
        <w:t xml:space="preserve">Въпреки подобряването на образователната структура на населението, продължават да са налице тревожни сигнали за </w:t>
      </w:r>
      <w:r w:rsidRPr="00DC4A4B">
        <w:rPr>
          <w:rFonts w:ascii="Times New Roman" w:hAnsi="Times New Roman"/>
          <w:b/>
          <w:color w:val="4F81BD"/>
        </w:rPr>
        <w:t>качеството на образованието</w:t>
      </w:r>
      <w:r w:rsidRPr="00DC4A4B">
        <w:rPr>
          <w:rFonts w:ascii="Times New Roman" w:hAnsi="Times New Roman"/>
        </w:rPr>
        <w:t xml:space="preserve">. В изследването </w:t>
      </w:r>
      <w:proofErr w:type="spellStart"/>
      <w:r w:rsidRPr="00DC4A4B">
        <w:rPr>
          <w:rFonts w:ascii="Times New Roman" w:hAnsi="Times New Roman"/>
          <w:i/>
        </w:rPr>
        <w:t>Global</w:t>
      </w:r>
      <w:proofErr w:type="spellEnd"/>
      <w:r w:rsidRPr="00DC4A4B">
        <w:rPr>
          <w:rFonts w:ascii="Times New Roman" w:hAnsi="Times New Roman"/>
          <w:i/>
        </w:rPr>
        <w:t xml:space="preserve"> </w:t>
      </w:r>
      <w:proofErr w:type="spellStart"/>
      <w:r w:rsidRPr="00DC4A4B">
        <w:rPr>
          <w:rFonts w:ascii="Times New Roman" w:hAnsi="Times New Roman"/>
          <w:i/>
        </w:rPr>
        <w:t>Competitiveness</w:t>
      </w:r>
      <w:proofErr w:type="spellEnd"/>
      <w:r w:rsidRPr="00DC4A4B">
        <w:rPr>
          <w:rFonts w:ascii="Times New Roman" w:hAnsi="Times New Roman"/>
          <w:i/>
        </w:rPr>
        <w:t xml:space="preserve"> </w:t>
      </w:r>
      <w:proofErr w:type="spellStart"/>
      <w:r w:rsidRPr="00DC4A4B">
        <w:rPr>
          <w:rFonts w:ascii="Times New Roman" w:hAnsi="Times New Roman"/>
          <w:i/>
        </w:rPr>
        <w:t>Report</w:t>
      </w:r>
      <w:proofErr w:type="spellEnd"/>
      <w:r w:rsidRPr="00DC4A4B">
        <w:rPr>
          <w:rFonts w:ascii="Times New Roman" w:hAnsi="Times New Roman"/>
          <w:i/>
        </w:rPr>
        <w:t xml:space="preserve"> 2017-2018</w:t>
      </w:r>
      <w:r w:rsidRPr="00DC4A4B">
        <w:rPr>
          <w:rFonts w:ascii="Times New Roman" w:hAnsi="Times New Roman"/>
        </w:rPr>
        <w:t xml:space="preserve"> на Световния икономически форум България е класирана на 83-то място в света (и на 26-то място в ЕС, изпреварвайки само Унгария и Хърватска) по показателя качество на образователната система. При това за последните десет години страната влош</w:t>
      </w:r>
      <w:r>
        <w:rPr>
          <w:rFonts w:ascii="Times New Roman" w:hAnsi="Times New Roman"/>
        </w:rPr>
        <w:t>ав</w:t>
      </w:r>
      <w:r w:rsidRPr="00DC4A4B">
        <w:rPr>
          <w:rFonts w:ascii="Times New Roman" w:hAnsi="Times New Roman"/>
        </w:rPr>
        <w:t xml:space="preserve">а представянето си с 19 позиции. В периода 2001-2011 г. България пада от 4-то на 22-ро място в международното изследване на уменията за четене на четвъртокласниците </w:t>
      </w:r>
      <w:r w:rsidRPr="00DC4A4B">
        <w:rPr>
          <w:rFonts w:ascii="Times New Roman" w:hAnsi="Times New Roman"/>
          <w:i/>
          <w:lang w:val="en-US"/>
        </w:rPr>
        <w:t>PIRLS</w:t>
      </w:r>
      <w:r w:rsidRPr="00DC4A4B">
        <w:rPr>
          <w:rFonts w:ascii="Times New Roman" w:hAnsi="Times New Roman"/>
        </w:rPr>
        <w:t>, като е между едва четирите държави, показ</w:t>
      </w:r>
      <w:r>
        <w:rPr>
          <w:rFonts w:ascii="Times New Roman" w:hAnsi="Times New Roman"/>
        </w:rPr>
        <w:t>ващи</w:t>
      </w:r>
      <w:r w:rsidRPr="00DC4A4B">
        <w:rPr>
          <w:rFonts w:ascii="Times New Roman" w:hAnsi="Times New Roman"/>
        </w:rPr>
        <w:t xml:space="preserve"> нетен спад в резултатите през десетилетието. Въпреки че резултатите на българските ученици се подобряват при последното изследване през 2016 г., когато страната се изкачва до 14-място, все още не могат да бъдат достигнати постиженията от началото на века. Сходни тенденции се наблюдават и в представянето на </w:t>
      </w:r>
      <w:r w:rsidRPr="00DC4A4B">
        <w:rPr>
          <w:rFonts w:ascii="Times New Roman" w:hAnsi="Times New Roman"/>
        </w:rPr>
        <w:lastRenderedPageBreak/>
        <w:t>страната в международното изследване „</w:t>
      </w:r>
      <w:r w:rsidRPr="009952CC">
        <w:rPr>
          <w:rFonts w:ascii="Times New Roman" w:hAnsi="Times New Roman"/>
          <w:i/>
        </w:rPr>
        <w:t>Тенденции в развитието на обучението по математика и природни науки</w:t>
      </w:r>
      <w:r w:rsidRPr="00DC4A4B">
        <w:rPr>
          <w:rFonts w:ascii="Times New Roman" w:hAnsi="Times New Roman"/>
        </w:rPr>
        <w:t xml:space="preserve">“ </w:t>
      </w:r>
      <w:r w:rsidRPr="00DC4A4B">
        <w:rPr>
          <w:rFonts w:ascii="Times New Roman" w:hAnsi="Times New Roman"/>
          <w:i/>
          <w:lang w:val="en-US"/>
        </w:rPr>
        <w:t>TIMSS</w:t>
      </w:r>
      <w:r w:rsidRPr="00DC4A4B">
        <w:rPr>
          <w:rFonts w:ascii="Times New Roman" w:hAnsi="Times New Roman"/>
        </w:rPr>
        <w:t>. Средният резултат по математика на българските ученици отбелязва рязък спад в периода 1999-2007 г., частично компенсиран в последното издание на изследването (2015 г.)</w:t>
      </w:r>
      <w:r w:rsidR="00ED3E87">
        <w:rPr>
          <w:rStyle w:val="FootnoteReference"/>
          <w:rFonts w:ascii="Times New Roman" w:hAnsi="Times New Roman"/>
        </w:rPr>
        <w:footnoteReference w:id="23"/>
      </w:r>
      <w:r w:rsidRPr="00DC4A4B">
        <w:rPr>
          <w:rFonts w:ascii="Times New Roman" w:hAnsi="Times New Roman"/>
        </w:rPr>
        <w:t>. Резултатите от изследването „</w:t>
      </w:r>
      <w:r w:rsidRPr="009952CC">
        <w:rPr>
          <w:rFonts w:ascii="Times New Roman" w:hAnsi="Times New Roman"/>
          <w:i/>
        </w:rPr>
        <w:t>Програма за международна оценка на учениците</w:t>
      </w:r>
      <w:r w:rsidRPr="00DC4A4B">
        <w:rPr>
          <w:rFonts w:ascii="Times New Roman" w:hAnsi="Times New Roman"/>
        </w:rPr>
        <w:t xml:space="preserve">“ </w:t>
      </w:r>
      <w:r w:rsidRPr="00DC4A4B">
        <w:rPr>
          <w:rFonts w:ascii="Times New Roman" w:hAnsi="Times New Roman"/>
          <w:i/>
        </w:rPr>
        <w:t xml:space="preserve">PISA </w:t>
      </w:r>
      <w:r w:rsidRPr="00DC4A4B">
        <w:rPr>
          <w:rFonts w:ascii="Times New Roman" w:hAnsi="Times New Roman"/>
        </w:rPr>
        <w:t>на Организацията за икономическо сътрудничество и развитие (ОИСР), проведено през 2015 г.,  показват, че 42% от 15-годишните са функционално неграмотни, 38% са с постижения под критичния праг в областта на науката, а 42% са с недостатъчно ниво на умения по математика. При това, резултатите в първите две области се влошават спрямо предходното изследване. Делът на изостаналите ученици в трите изследвани области е сред най-високите в ЕС и около два пъти по-висок от средните стойности за ЕС. При това, представянето на учениците с ромска и турска етническа принадлежност показва значително изоставане спрямо етническите българчета, равняващо се на 3 образователни години по отношение на четенето и 2 образователни години по отношение на математиката и науките.</w:t>
      </w:r>
    </w:p>
    <w:p w:rsidR="00AE0F90" w:rsidRPr="00DC4A4B" w:rsidRDefault="00AE0F90" w:rsidP="00AE0F90">
      <w:pPr>
        <w:pStyle w:val="Caption"/>
        <w:keepNext/>
        <w:spacing w:before="120" w:after="120"/>
        <w:rPr>
          <w:rFonts w:ascii="Times New Roman" w:hAnsi="Times New Roman" w:cs="Times New Roman"/>
          <w:sz w:val="18"/>
          <w:szCs w:val="18"/>
        </w:rPr>
      </w:pPr>
      <w:r w:rsidRPr="00DC4A4B">
        <w:rPr>
          <w:rFonts w:ascii="Times New Roman" w:hAnsi="Times New Roman" w:cs="Times New Roman"/>
          <w:sz w:val="18"/>
          <w:szCs w:val="18"/>
        </w:rPr>
        <w:t xml:space="preserve">Таблица </w:t>
      </w:r>
      <w:r w:rsidR="00227FC6">
        <w:rPr>
          <w:rFonts w:ascii="Times New Roman" w:hAnsi="Times New Roman" w:cs="Times New Roman"/>
          <w:sz w:val="18"/>
          <w:szCs w:val="18"/>
        </w:rPr>
        <w:t xml:space="preserve">2. </w:t>
      </w:r>
      <w:r w:rsidRPr="00DC4A4B">
        <w:rPr>
          <w:rFonts w:ascii="Times New Roman" w:hAnsi="Times New Roman" w:cs="Times New Roman"/>
          <w:sz w:val="18"/>
          <w:szCs w:val="18"/>
        </w:rPr>
        <w:t xml:space="preserve">Основни показатели за </w:t>
      </w:r>
      <w:r>
        <w:rPr>
          <w:rFonts w:ascii="Times New Roman" w:hAnsi="Times New Roman" w:cs="Times New Roman"/>
          <w:sz w:val="18"/>
          <w:szCs w:val="18"/>
        </w:rPr>
        <w:t xml:space="preserve">сферата на образованието в </w:t>
      </w:r>
      <w:r w:rsidRPr="00DC4A4B">
        <w:rPr>
          <w:rFonts w:ascii="Times New Roman" w:hAnsi="Times New Roman" w:cs="Times New Roman"/>
          <w:sz w:val="18"/>
          <w:szCs w:val="18"/>
        </w:rPr>
        <w:t>България за периода 2008-2017 г.</w:t>
      </w:r>
    </w:p>
    <w:tbl>
      <w:tblPr>
        <w:tblW w:w="0" w:type="auto"/>
        <w:tblInd w:w="108" w:type="dxa"/>
        <w:tblBorders>
          <w:top w:val="double" w:sz="4" w:space="0" w:color="9EC3DE"/>
          <w:left w:val="double" w:sz="4" w:space="0" w:color="9EC3DE"/>
          <w:bottom w:val="double" w:sz="4" w:space="0" w:color="9EC3DE"/>
          <w:right w:val="double" w:sz="4" w:space="0" w:color="9EC3DE"/>
          <w:insideH w:val="double" w:sz="4" w:space="0" w:color="9EC3DE"/>
          <w:insideV w:val="double" w:sz="4" w:space="0" w:color="9EC3DE"/>
        </w:tblBorders>
        <w:tblLook w:val="04A0" w:firstRow="1" w:lastRow="0" w:firstColumn="1" w:lastColumn="0" w:noHBand="0" w:noVBand="1"/>
      </w:tblPr>
      <w:tblGrid>
        <w:gridCol w:w="4698"/>
        <w:gridCol w:w="1114"/>
        <w:gridCol w:w="1134"/>
        <w:gridCol w:w="1134"/>
        <w:gridCol w:w="1134"/>
      </w:tblGrid>
      <w:tr w:rsidR="00AE0F90" w:rsidRPr="00DC4A4B" w:rsidTr="00197DD9">
        <w:trPr>
          <w:trHeight w:hRule="exact" w:val="454"/>
        </w:trPr>
        <w:tc>
          <w:tcPr>
            <w:tcW w:w="4698" w:type="dxa"/>
            <w:shd w:val="clear" w:color="auto" w:fill="9EC3DE"/>
          </w:tcPr>
          <w:p w:rsidR="00AE0F90" w:rsidRPr="00DC4A4B" w:rsidRDefault="00AE0F90" w:rsidP="00197DD9">
            <w:pPr>
              <w:pStyle w:val="ListParagraph"/>
              <w:keepNext/>
              <w:spacing w:after="0"/>
              <w:ind w:left="0"/>
              <w:jc w:val="center"/>
              <w:rPr>
                <w:rFonts w:ascii="Times New Roman" w:hAnsi="Times New Roman" w:cs="Times New Roman"/>
                <w:b/>
                <w:sz w:val="18"/>
                <w:szCs w:val="18"/>
              </w:rPr>
            </w:pPr>
            <w:r w:rsidRPr="00DC4A4B">
              <w:rPr>
                <w:rFonts w:ascii="Times New Roman" w:hAnsi="Times New Roman" w:cs="Times New Roman"/>
                <w:b/>
                <w:sz w:val="18"/>
                <w:szCs w:val="18"/>
              </w:rPr>
              <w:t>Показател</w:t>
            </w:r>
          </w:p>
        </w:tc>
        <w:tc>
          <w:tcPr>
            <w:tcW w:w="1114" w:type="dxa"/>
            <w:shd w:val="clear" w:color="auto" w:fill="9EC3DE"/>
          </w:tcPr>
          <w:p w:rsidR="00AE0F90" w:rsidRPr="00DC4A4B" w:rsidRDefault="00AE0F90" w:rsidP="00197DD9">
            <w:pPr>
              <w:pStyle w:val="ListParagraph"/>
              <w:keepNext/>
              <w:spacing w:after="0"/>
              <w:ind w:left="0" w:firstLine="0"/>
              <w:contextualSpacing w:val="0"/>
              <w:jc w:val="center"/>
              <w:rPr>
                <w:rFonts w:ascii="Times New Roman" w:hAnsi="Times New Roman" w:cs="Times New Roman"/>
                <w:b/>
                <w:sz w:val="18"/>
                <w:szCs w:val="18"/>
              </w:rPr>
            </w:pPr>
            <w:r w:rsidRPr="00DC4A4B">
              <w:rPr>
                <w:rFonts w:ascii="Times New Roman" w:hAnsi="Times New Roman" w:cs="Times New Roman"/>
                <w:b/>
                <w:sz w:val="18"/>
                <w:szCs w:val="18"/>
              </w:rPr>
              <w:t>2008 г.</w:t>
            </w:r>
          </w:p>
        </w:tc>
        <w:tc>
          <w:tcPr>
            <w:tcW w:w="1134" w:type="dxa"/>
            <w:shd w:val="clear" w:color="auto" w:fill="9EC3DE"/>
          </w:tcPr>
          <w:p w:rsidR="00AE0F90" w:rsidRPr="00DC4A4B" w:rsidRDefault="00AE0F90" w:rsidP="00197DD9">
            <w:pPr>
              <w:pStyle w:val="ListParagraph"/>
              <w:keepNext/>
              <w:spacing w:after="0"/>
              <w:ind w:left="0" w:firstLine="0"/>
              <w:contextualSpacing w:val="0"/>
              <w:jc w:val="center"/>
              <w:rPr>
                <w:rFonts w:ascii="Times New Roman" w:hAnsi="Times New Roman" w:cs="Times New Roman"/>
                <w:b/>
                <w:sz w:val="18"/>
                <w:szCs w:val="18"/>
              </w:rPr>
            </w:pPr>
            <w:r w:rsidRPr="00DC4A4B">
              <w:rPr>
                <w:rFonts w:ascii="Times New Roman" w:hAnsi="Times New Roman" w:cs="Times New Roman"/>
                <w:b/>
                <w:sz w:val="18"/>
                <w:szCs w:val="18"/>
              </w:rPr>
              <w:t>2011 г.</w:t>
            </w:r>
          </w:p>
        </w:tc>
        <w:tc>
          <w:tcPr>
            <w:tcW w:w="1134" w:type="dxa"/>
            <w:shd w:val="clear" w:color="auto" w:fill="9EC3DE"/>
          </w:tcPr>
          <w:p w:rsidR="00AE0F90" w:rsidRPr="00DC4A4B" w:rsidRDefault="00AE0F90" w:rsidP="00197DD9">
            <w:pPr>
              <w:pStyle w:val="ListParagraph"/>
              <w:keepNext/>
              <w:spacing w:after="0"/>
              <w:ind w:left="0" w:firstLine="0"/>
              <w:contextualSpacing w:val="0"/>
              <w:jc w:val="center"/>
              <w:rPr>
                <w:rFonts w:ascii="Times New Roman" w:hAnsi="Times New Roman" w:cs="Times New Roman"/>
                <w:b/>
                <w:sz w:val="18"/>
                <w:szCs w:val="18"/>
              </w:rPr>
            </w:pPr>
            <w:r w:rsidRPr="00DC4A4B">
              <w:rPr>
                <w:rFonts w:ascii="Times New Roman" w:hAnsi="Times New Roman" w:cs="Times New Roman"/>
                <w:b/>
                <w:sz w:val="18"/>
                <w:szCs w:val="18"/>
              </w:rPr>
              <w:t>2014 г.</w:t>
            </w:r>
          </w:p>
        </w:tc>
        <w:tc>
          <w:tcPr>
            <w:tcW w:w="1134" w:type="dxa"/>
            <w:shd w:val="clear" w:color="auto" w:fill="9EC3DE"/>
          </w:tcPr>
          <w:p w:rsidR="00AE0F90" w:rsidRPr="00DC4A4B" w:rsidRDefault="00AE0F90" w:rsidP="00197DD9">
            <w:pPr>
              <w:pStyle w:val="ListParagraph"/>
              <w:keepNext/>
              <w:spacing w:after="0"/>
              <w:ind w:left="0" w:firstLine="0"/>
              <w:contextualSpacing w:val="0"/>
              <w:jc w:val="center"/>
              <w:rPr>
                <w:rFonts w:ascii="Times New Roman" w:hAnsi="Times New Roman" w:cs="Times New Roman"/>
                <w:b/>
                <w:sz w:val="18"/>
                <w:szCs w:val="18"/>
              </w:rPr>
            </w:pPr>
            <w:r w:rsidRPr="00DC4A4B">
              <w:rPr>
                <w:rFonts w:ascii="Times New Roman" w:hAnsi="Times New Roman" w:cs="Times New Roman"/>
                <w:b/>
                <w:sz w:val="18"/>
                <w:szCs w:val="18"/>
              </w:rPr>
              <w:t>2017</w:t>
            </w:r>
            <w:r>
              <w:rPr>
                <w:rFonts w:ascii="Times New Roman" w:hAnsi="Times New Roman" w:cs="Times New Roman"/>
                <w:b/>
                <w:sz w:val="18"/>
                <w:szCs w:val="18"/>
              </w:rPr>
              <w:t xml:space="preserve"> </w:t>
            </w:r>
            <w:r w:rsidRPr="00DC4A4B">
              <w:rPr>
                <w:rFonts w:ascii="Times New Roman" w:hAnsi="Times New Roman" w:cs="Times New Roman"/>
                <w:b/>
                <w:sz w:val="18"/>
                <w:szCs w:val="18"/>
              </w:rPr>
              <w:t>г.</w:t>
            </w:r>
          </w:p>
        </w:tc>
      </w:tr>
      <w:tr w:rsidR="00AE0F90" w:rsidRPr="00DC4A4B" w:rsidTr="00197DD9">
        <w:trPr>
          <w:trHeight w:hRule="exact" w:val="454"/>
        </w:trPr>
        <w:tc>
          <w:tcPr>
            <w:tcW w:w="4698" w:type="dxa"/>
            <w:vAlign w:val="center"/>
          </w:tcPr>
          <w:p w:rsidR="00AE0F90" w:rsidRPr="00DC4A4B" w:rsidRDefault="00AE0F90" w:rsidP="00197DD9">
            <w:pPr>
              <w:pStyle w:val="ListParagraph"/>
              <w:spacing w:after="0"/>
              <w:ind w:left="0" w:firstLine="0"/>
              <w:contextualSpacing w:val="0"/>
              <w:rPr>
                <w:rFonts w:ascii="Times New Roman" w:hAnsi="Times New Roman" w:cs="Times New Roman"/>
                <w:sz w:val="18"/>
                <w:szCs w:val="18"/>
              </w:rPr>
            </w:pPr>
            <w:r>
              <w:rPr>
                <w:rFonts w:ascii="Times New Roman" w:hAnsi="Times New Roman" w:cs="Times New Roman"/>
                <w:sz w:val="18"/>
                <w:szCs w:val="18"/>
              </w:rPr>
              <w:t>Нетен коефициент на записване в:</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p>
        </w:tc>
      </w:tr>
      <w:tr w:rsidR="00AE0F90" w:rsidRPr="00DC4A4B" w:rsidTr="00197DD9">
        <w:trPr>
          <w:trHeight w:hRule="exact" w:val="454"/>
        </w:trPr>
        <w:tc>
          <w:tcPr>
            <w:tcW w:w="4698" w:type="dxa"/>
            <w:vAlign w:val="center"/>
          </w:tcPr>
          <w:p w:rsidR="00AE0F90" w:rsidRPr="00DC4A4B" w:rsidRDefault="00AE0F90" w:rsidP="00197DD9">
            <w:pPr>
              <w:pStyle w:val="ListParagraph"/>
              <w:numPr>
                <w:ilvl w:val="0"/>
                <w:numId w:val="32"/>
              </w:numPr>
              <w:spacing w:after="0"/>
              <w:contextualSpacing w:val="0"/>
              <w:rPr>
                <w:rFonts w:ascii="Times New Roman" w:hAnsi="Times New Roman" w:cs="Times New Roman"/>
                <w:sz w:val="18"/>
                <w:szCs w:val="18"/>
              </w:rPr>
            </w:pPr>
            <w:r>
              <w:rPr>
                <w:rFonts w:ascii="Times New Roman" w:hAnsi="Times New Roman" w:cs="Times New Roman"/>
                <w:sz w:val="18"/>
                <w:szCs w:val="18"/>
              </w:rPr>
              <w:t>предучилищно образование</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73.8</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81.5</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82.9</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78.4</w:t>
            </w:r>
          </w:p>
        </w:tc>
      </w:tr>
      <w:tr w:rsidR="00AE0F90" w:rsidRPr="00DC4A4B" w:rsidTr="00197DD9">
        <w:trPr>
          <w:trHeight w:hRule="exact" w:val="454"/>
        </w:trPr>
        <w:tc>
          <w:tcPr>
            <w:tcW w:w="4698" w:type="dxa"/>
            <w:vAlign w:val="center"/>
          </w:tcPr>
          <w:p w:rsidR="00AE0F90" w:rsidRPr="00DC4A4B" w:rsidRDefault="00AE0F90" w:rsidP="00197DD9">
            <w:pPr>
              <w:pStyle w:val="ListParagraph"/>
              <w:numPr>
                <w:ilvl w:val="0"/>
                <w:numId w:val="32"/>
              </w:numPr>
              <w:spacing w:after="0"/>
              <w:contextualSpacing w:val="0"/>
              <w:rPr>
                <w:rFonts w:ascii="Times New Roman" w:hAnsi="Times New Roman" w:cs="Times New Roman"/>
                <w:sz w:val="18"/>
                <w:szCs w:val="18"/>
              </w:rPr>
            </w:pPr>
            <w:r>
              <w:rPr>
                <w:rFonts w:ascii="Times New Roman" w:hAnsi="Times New Roman" w:cs="Times New Roman"/>
                <w:sz w:val="18"/>
                <w:szCs w:val="18"/>
              </w:rPr>
              <w:t>начално образование</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94.6</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95.8</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94.8</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90.8</w:t>
            </w:r>
          </w:p>
        </w:tc>
      </w:tr>
      <w:tr w:rsidR="00AE0F90" w:rsidRPr="00DC4A4B" w:rsidTr="00197DD9">
        <w:trPr>
          <w:trHeight w:hRule="exact" w:val="454"/>
        </w:trPr>
        <w:tc>
          <w:tcPr>
            <w:tcW w:w="4698" w:type="dxa"/>
            <w:vAlign w:val="center"/>
          </w:tcPr>
          <w:p w:rsidR="00AE0F90" w:rsidRPr="00DC4A4B" w:rsidRDefault="00AE0F90" w:rsidP="00197DD9">
            <w:pPr>
              <w:pStyle w:val="ListParagraph"/>
              <w:numPr>
                <w:ilvl w:val="0"/>
                <w:numId w:val="32"/>
              </w:numPr>
              <w:spacing w:after="0"/>
              <w:contextualSpacing w:val="0"/>
              <w:rPr>
                <w:rFonts w:ascii="Times New Roman" w:hAnsi="Times New Roman" w:cs="Times New Roman"/>
                <w:sz w:val="18"/>
                <w:szCs w:val="18"/>
              </w:rPr>
            </w:pPr>
            <w:r>
              <w:rPr>
                <w:rFonts w:ascii="Times New Roman" w:hAnsi="Times New Roman" w:cs="Times New Roman"/>
                <w:sz w:val="18"/>
                <w:szCs w:val="18"/>
              </w:rPr>
              <w:t>средно образование</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78.3</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81.3</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82.2</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82.6</w:t>
            </w:r>
          </w:p>
        </w:tc>
      </w:tr>
      <w:tr w:rsidR="00AE0F90" w:rsidRPr="00DC4A4B" w:rsidTr="00197DD9">
        <w:trPr>
          <w:trHeight w:hRule="exact" w:val="454"/>
        </w:trPr>
        <w:tc>
          <w:tcPr>
            <w:tcW w:w="4698" w:type="dxa"/>
            <w:vAlign w:val="center"/>
          </w:tcPr>
          <w:p w:rsidR="00AE0F90" w:rsidRPr="00DC4A4B" w:rsidRDefault="00AE0F90" w:rsidP="00197DD9">
            <w:pPr>
              <w:pStyle w:val="ListParagraph"/>
              <w:spacing w:after="0"/>
              <w:ind w:left="0" w:firstLine="0"/>
              <w:contextualSpacing w:val="0"/>
              <w:rPr>
                <w:rFonts w:ascii="Times New Roman" w:hAnsi="Times New Roman" w:cs="Times New Roman"/>
                <w:sz w:val="18"/>
                <w:szCs w:val="18"/>
              </w:rPr>
            </w:pPr>
            <w:r>
              <w:rPr>
                <w:rFonts w:ascii="Times New Roman" w:hAnsi="Times New Roman" w:cs="Times New Roman"/>
                <w:sz w:val="18"/>
                <w:szCs w:val="18"/>
              </w:rPr>
              <w:t>Население с висше образование (30-34 г.)</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27.1</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27.3</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30.9</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33.8</w:t>
            </w:r>
            <w:r>
              <w:rPr>
                <w:rStyle w:val="FootnoteReference"/>
                <w:rFonts w:ascii="Times New Roman" w:hAnsi="Times New Roman"/>
                <w:sz w:val="18"/>
                <w:szCs w:val="18"/>
              </w:rPr>
              <w:footnoteReference w:id="24"/>
            </w:r>
          </w:p>
        </w:tc>
      </w:tr>
      <w:tr w:rsidR="00AE0F90" w:rsidRPr="00DC4A4B" w:rsidTr="00197DD9">
        <w:trPr>
          <w:trHeight w:hRule="exact" w:val="454"/>
        </w:trPr>
        <w:tc>
          <w:tcPr>
            <w:tcW w:w="4698" w:type="dxa"/>
            <w:vAlign w:val="center"/>
          </w:tcPr>
          <w:p w:rsidR="00AE0F90" w:rsidRPr="00DC4A4B" w:rsidRDefault="00AE0F90" w:rsidP="00197DD9">
            <w:pPr>
              <w:pStyle w:val="ListParagraph"/>
              <w:spacing w:after="0"/>
              <w:ind w:left="0" w:firstLine="0"/>
              <w:contextualSpacing w:val="0"/>
              <w:rPr>
                <w:rFonts w:ascii="Times New Roman" w:hAnsi="Times New Roman" w:cs="Times New Roman"/>
                <w:sz w:val="18"/>
                <w:szCs w:val="18"/>
              </w:rPr>
            </w:pPr>
            <w:r>
              <w:rPr>
                <w:rFonts w:ascii="Times New Roman" w:hAnsi="Times New Roman" w:cs="Times New Roman"/>
                <w:sz w:val="18"/>
                <w:szCs w:val="18"/>
              </w:rPr>
              <w:t>Преждевременно напуснали образование и обучение (18-24 г.)</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14.8</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11.8</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12.9</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12.7</w:t>
            </w:r>
          </w:p>
        </w:tc>
      </w:tr>
      <w:tr w:rsidR="00AE0F90" w:rsidRPr="00DC4A4B" w:rsidTr="00197DD9">
        <w:trPr>
          <w:trHeight w:hRule="exact" w:val="454"/>
        </w:trPr>
        <w:tc>
          <w:tcPr>
            <w:tcW w:w="4698" w:type="dxa"/>
            <w:vAlign w:val="center"/>
          </w:tcPr>
          <w:p w:rsidR="00AE0F90" w:rsidRPr="00DC4A4B" w:rsidRDefault="00AE0F90" w:rsidP="00197DD9">
            <w:pPr>
              <w:pStyle w:val="ListParagraph"/>
              <w:spacing w:after="0"/>
              <w:ind w:left="0" w:firstLine="0"/>
              <w:contextualSpacing w:val="0"/>
              <w:rPr>
                <w:rFonts w:ascii="Times New Roman" w:hAnsi="Times New Roman" w:cs="Times New Roman"/>
                <w:sz w:val="18"/>
                <w:szCs w:val="18"/>
              </w:rPr>
            </w:pPr>
            <w:r>
              <w:rPr>
                <w:rFonts w:ascii="Times New Roman" w:hAnsi="Times New Roman" w:cs="Times New Roman"/>
                <w:sz w:val="18"/>
                <w:szCs w:val="18"/>
              </w:rPr>
              <w:t>Участие в УЦЖ (25-64 г.)</w:t>
            </w:r>
          </w:p>
        </w:tc>
        <w:tc>
          <w:tcPr>
            <w:tcW w:w="111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1.6</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1.6</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2.1</w:t>
            </w:r>
          </w:p>
        </w:tc>
        <w:tc>
          <w:tcPr>
            <w:tcW w:w="1134" w:type="dxa"/>
            <w:vAlign w:val="center"/>
          </w:tcPr>
          <w:p w:rsidR="00AE0F90" w:rsidRPr="00DC4A4B" w:rsidRDefault="00AE0F90" w:rsidP="00197DD9">
            <w:pPr>
              <w:pStyle w:val="ListParagraph"/>
              <w:spacing w:after="0"/>
              <w:ind w:left="0"/>
              <w:jc w:val="right"/>
              <w:rPr>
                <w:rFonts w:ascii="Times New Roman" w:hAnsi="Times New Roman" w:cs="Times New Roman"/>
                <w:sz w:val="18"/>
                <w:szCs w:val="18"/>
              </w:rPr>
            </w:pPr>
            <w:r>
              <w:rPr>
                <w:rFonts w:ascii="Times New Roman" w:hAnsi="Times New Roman" w:cs="Times New Roman"/>
                <w:sz w:val="18"/>
                <w:szCs w:val="18"/>
              </w:rPr>
              <w:t>2.3</w:t>
            </w:r>
          </w:p>
        </w:tc>
      </w:tr>
    </w:tbl>
    <w:p w:rsidR="00AE0F90" w:rsidRDefault="00AE0F90" w:rsidP="00AE0F90">
      <w:pPr>
        <w:pStyle w:val="ListParagraph"/>
        <w:spacing w:line="269" w:lineRule="auto"/>
        <w:ind w:left="0" w:firstLine="0"/>
        <w:contextualSpacing w:val="0"/>
        <w:jc w:val="both"/>
        <w:rPr>
          <w:rFonts w:ascii="Times New Roman" w:hAnsi="Times New Roman" w:cs="Times New Roman"/>
        </w:rPr>
      </w:pPr>
    </w:p>
    <w:p w:rsidR="00AE0F90" w:rsidRPr="00DC4A4B" w:rsidRDefault="00AE0F90" w:rsidP="00AE0F90">
      <w:pPr>
        <w:pStyle w:val="ListParagraph"/>
        <w:spacing w:line="269" w:lineRule="auto"/>
        <w:ind w:left="0" w:firstLine="0"/>
        <w:contextualSpacing w:val="0"/>
        <w:jc w:val="both"/>
        <w:rPr>
          <w:rFonts w:ascii="Times New Roman" w:hAnsi="Times New Roman" w:cs="Times New Roman"/>
        </w:rPr>
      </w:pPr>
      <w:r w:rsidRPr="00DC4A4B">
        <w:rPr>
          <w:rFonts w:ascii="Times New Roman" w:hAnsi="Times New Roman" w:cs="Times New Roman"/>
        </w:rPr>
        <w:t xml:space="preserve">Обезпокоителна е тенденцията, формирана в последните пет години, на постоянно намаляване на обхвата на </w:t>
      </w:r>
      <w:r w:rsidRPr="00DC4A4B">
        <w:rPr>
          <w:rFonts w:ascii="Times New Roman" w:eastAsia="Calibri" w:hAnsi="Times New Roman" w:cs="Times New Roman"/>
          <w:b/>
          <w:color w:val="4F81BD"/>
          <w:lang w:eastAsia="en-US"/>
        </w:rPr>
        <w:t>предучилищното образование</w:t>
      </w:r>
      <w:r w:rsidRPr="00DC4A4B">
        <w:rPr>
          <w:rFonts w:ascii="Times New Roman" w:hAnsi="Times New Roman" w:cs="Times New Roman"/>
        </w:rPr>
        <w:t xml:space="preserve">. Нетният коефициент на записване на децата </w:t>
      </w:r>
      <w:r w:rsidR="00ED3E87">
        <w:rPr>
          <w:rFonts w:ascii="Times New Roman" w:hAnsi="Times New Roman" w:cs="Times New Roman"/>
        </w:rPr>
        <w:t>на 3-</w:t>
      </w:r>
      <w:r w:rsidRPr="00DC4A4B">
        <w:rPr>
          <w:rFonts w:ascii="Times New Roman" w:hAnsi="Times New Roman" w:cs="Times New Roman"/>
        </w:rPr>
        <w:t>6 годишна възраст намалява устойчиво от достигната му най-висока стойност през 2013 г. (83.6%) и достига 78.4% през 2018 г. Негативната тенденция се наблюдава въпреки последните реформи в областта, които прав</w:t>
      </w:r>
      <w:r>
        <w:rPr>
          <w:rFonts w:ascii="Times New Roman" w:hAnsi="Times New Roman" w:cs="Times New Roman"/>
        </w:rPr>
        <w:t>ят</w:t>
      </w:r>
      <w:r w:rsidRPr="00DC4A4B">
        <w:rPr>
          <w:rFonts w:ascii="Times New Roman" w:hAnsi="Times New Roman" w:cs="Times New Roman"/>
        </w:rPr>
        <w:t xml:space="preserve"> задължително предучилищното образование за всички деца на възраст между 5 и 6 години. Обяснението би могло частично да бъде търсено в </w:t>
      </w:r>
      <w:r w:rsidR="00ED3E87" w:rsidRPr="00ED3E87">
        <w:rPr>
          <w:rFonts w:ascii="Times New Roman" w:hAnsi="Times New Roman" w:cs="Times New Roman"/>
        </w:rPr>
        <w:t>нерегистрираната външна миграция на децата в задължителна предучилищна и училищна възраст</w:t>
      </w:r>
      <w:r w:rsidR="00ED3E87">
        <w:rPr>
          <w:rFonts w:ascii="Times New Roman" w:hAnsi="Times New Roman" w:cs="Times New Roman"/>
        </w:rPr>
        <w:t>, както и в</w:t>
      </w:r>
      <w:r w:rsidR="00ED3E87" w:rsidRPr="00DC4A4B">
        <w:rPr>
          <w:rFonts w:ascii="Times New Roman" w:hAnsi="Times New Roman" w:cs="Times New Roman"/>
        </w:rPr>
        <w:t xml:space="preserve"> </w:t>
      </w:r>
      <w:r w:rsidRPr="00DC4A4B">
        <w:rPr>
          <w:rFonts w:ascii="Times New Roman" w:hAnsi="Times New Roman" w:cs="Times New Roman"/>
        </w:rPr>
        <w:t xml:space="preserve">невъзможността на най-уязвимите групи да обезпечат включването на децата си в ранни детски програми по чисто финансови съображения – заради дължимите такси и скритите разходи. </w:t>
      </w:r>
      <w:r w:rsidR="00ED3E87">
        <w:rPr>
          <w:rFonts w:ascii="Times New Roman" w:hAnsi="Times New Roman" w:cs="Times New Roman"/>
        </w:rPr>
        <w:t xml:space="preserve">Сред </w:t>
      </w:r>
      <w:r w:rsidRPr="00DC4A4B">
        <w:rPr>
          <w:rFonts w:ascii="Times New Roman" w:hAnsi="Times New Roman" w:cs="Times New Roman"/>
        </w:rPr>
        <w:t>вероятн</w:t>
      </w:r>
      <w:r w:rsidR="00ED3E87">
        <w:rPr>
          <w:rFonts w:ascii="Times New Roman" w:hAnsi="Times New Roman" w:cs="Times New Roman"/>
        </w:rPr>
        <w:t>ите</w:t>
      </w:r>
      <w:r w:rsidRPr="00DC4A4B">
        <w:rPr>
          <w:rFonts w:ascii="Times New Roman" w:hAnsi="Times New Roman" w:cs="Times New Roman"/>
        </w:rPr>
        <w:t xml:space="preserve"> причин</w:t>
      </w:r>
      <w:r w:rsidR="00ED3E87">
        <w:rPr>
          <w:rFonts w:ascii="Times New Roman" w:hAnsi="Times New Roman" w:cs="Times New Roman"/>
        </w:rPr>
        <w:t>и</w:t>
      </w:r>
      <w:r w:rsidRPr="00DC4A4B">
        <w:rPr>
          <w:rFonts w:ascii="Times New Roman" w:hAnsi="Times New Roman" w:cs="Times New Roman"/>
        </w:rPr>
        <w:t xml:space="preserve"> е </w:t>
      </w:r>
      <w:r w:rsidR="00ED3E87">
        <w:rPr>
          <w:rFonts w:ascii="Times New Roman" w:hAnsi="Times New Roman" w:cs="Times New Roman"/>
        </w:rPr>
        <w:t xml:space="preserve">и </w:t>
      </w:r>
      <w:r w:rsidRPr="00DC4A4B">
        <w:rPr>
          <w:rFonts w:ascii="Times New Roman" w:hAnsi="Times New Roman" w:cs="Times New Roman"/>
        </w:rPr>
        <w:t>ограничаването на физическия достъп на децата, свързано, от една страна, със закриването на детски градини в малки и отдалечени места, както и с недостига на места в детските градини в големите градове, поради концентрирането на населението в тях – от друга. Броят на детските градини в страната намаля</w:t>
      </w:r>
      <w:r>
        <w:rPr>
          <w:rFonts w:ascii="Times New Roman" w:hAnsi="Times New Roman" w:cs="Times New Roman"/>
        </w:rPr>
        <w:t>ва</w:t>
      </w:r>
      <w:r w:rsidRPr="00DC4A4B">
        <w:rPr>
          <w:rFonts w:ascii="Times New Roman" w:hAnsi="Times New Roman" w:cs="Times New Roman"/>
        </w:rPr>
        <w:t xml:space="preserve"> с 11.4% през последните пет години, като са закрити 283 детски градини в малки и средни общини и са от</w:t>
      </w:r>
      <w:r>
        <w:rPr>
          <w:rFonts w:ascii="Times New Roman" w:hAnsi="Times New Roman" w:cs="Times New Roman"/>
        </w:rPr>
        <w:t>крити</w:t>
      </w:r>
      <w:r w:rsidRPr="00DC4A4B">
        <w:rPr>
          <w:rFonts w:ascii="Times New Roman" w:hAnsi="Times New Roman" w:cs="Times New Roman"/>
        </w:rPr>
        <w:t xml:space="preserve"> 47 нови детски градини (24 в София-град). Единствено Югозападният район, поради влиянието на столицата, отбелязва нетно нарастване (+3.4%) на броя на детските градини за периода, докато на обратния полюс е Северен централен район (-22%). Участието в образование от ранното детство е изключително важно, особено за децата с по-нисък социално-икономически статус и такива, които говорят друг език в домашна обстановка. Резултатите от </w:t>
      </w:r>
      <w:r w:rsidRPr="00DC4A4B">
        <w:rPr>
          <w:rFonts w:ascii="Times New Roman" w:hAnsi="Times New Roman" w:cs="Times New Roman"/>
          <w:i/>
          <w:lang w:val="en-US"/>
        </w:rPr>
        <w:t>PISA</w:t>
      </w:r>
      <w:r w:rsidRPr="00DC4A4B">
        <w:rPr>
          <w:rFonts w:ascii="Times New Roman" w:hAnsi="Times New Roman" w:cs="Times New Roman"/>
        </w:rPr>
        <w:t xml:space="preserve"> 2012 г. за България показват, че участието в поне двугодишн</w:t>
      </w:r>
      <w:r w:rsidR="00ED3E87">
        <w:rPr>
          <w:rFonts w:ascii="Times New Roman" w:hAnsi="Times New Roman" w:cs="Times New Roman"/>
        </w:rPr>
        <w:t>о</w:t>
      </w:r>
      <w:r w:rsidRPr="00DC4A4B">
        <w:rPr>
          <w:rFonts w:ascii="Times New Roman" w:hAnsi="Times New Roman" w:cs="Times New Roman"/>
        </w:rPr>
        <w:t xml:space="preserve"> </w:t>
      </w:r>
      <w:r w:rsidR="00ED3E87">
        <w:rPr>
          <w:rFonts w:ascii="Times New Roman" w:hAnsi="Times New Roman" w:cs="Times New Roman"/>
        </w:rPr>
        <w:t>предучилищно образование</w:t>
      </w:r>
      <w:r w:rsidRPr="00DC4A4B">
        <w:rPr>
          <w:rFonts w:ascii="Times New Roman" w:hAnsi="Times New Roman" w:cs="Times New Roman"/>
        </w:rPr>
        <w:t xml:space="preserve"> преди </w:t>
      </w:r>
      <w:r w:rsidR="00ED3E87">
        <w:rPr>
          <w:rFonts w:ascii="Times New Roman" w:hAnsi="Times New Roman" w:cs="Times New Roman"/>
        </w:rPr>
        <w:t>постъпването в училище</w:t>
      </w:r>
      <w:r w:rsidRPr="00DC4A4B">
        <w:rPr>
          <w:rFonts w:ascii="Times New Roman" w:hAnsi="Times New Roman" w:cs="Times New Roman"/>
        </w:rPr>
        <w:t xml:space="preserve"> </w:t>
      </w:r>
      <w:r w:rsidRPr="00DC4A4B">
        <w:rPr>
          <w:rFonts w:ascii="Times New Roman" w:hAnsi="Times New Roman" w:cs="Times New Roman"/>
        </w:rPr>
        <w:lastRenderedPageBreak/>
        <w:t xml:space="preserve">увеличава математическите резултати в </w:t>
      </w:r>
      <w:r w:rsidRPr="00F72BC8">
        <w:rPr>
          <w:rFonts w:ascii="Times New Roman" w:hAnsi="Times New Roman" w:cs="Times New Roman"/>
          <w:i/>
          <w:lang w:val="en-US"/>
        </w:rPr>
        <w:t>PISA</w:t>
      </w:r>
      <w:r w:rsidRPr="00DC4A4B">
        <w:rPr>
          <w:rFonts w:ascii="Times New Roman" w:hAnsi="Times New Roman" w:cs="Times New Roman"/>
        </w:rPr>
        <w:t xml:space="preserve"> със средно 7 т., като ефектът достига 10 т. при децата с по-нисък социално-икономически статус и 19 т. при децата, които говорят друг език в домашна обстановка.</w:t>
      </w:r>
    </w:p>
    <w:p w:rsidR="00AE0F90" w:rsidRPr="00DC4A4B" w:rsidRDefault="00AE0F90" w:rsidP="00AE0F90">
      <w:pPr>
        <w:pStyle w:val="CommentText"/>
        <w:spacing w:after="200" w:line="269" w:lineRule="auto"/>
        <w:jc w:val="both"/>
        <w:rPr>
          <w:rFonts w:ascii="Times New Roman" w:hAnsi="Times New Roman"/>
          <w:sz w:val="22"/>
          <w:szCs w:val="22"/>
        </w:rPr>
      </w:pPr>
      <w:r w:rsidRPr="00DC4A4B">
        <w:rPr>
          <w:rFonts w:ascii="Times New Roman" w:hAnsi="Times New Roman"/>
          <w:sz w:val="22"/>
          <w:szCs w:val="22"/>
        </w:rPr>
        <w:t xml:space="preserve">Нетният коефициент на записване на учениците от </w:t>
      </w:r>
      <w:r w:rsidRPr="00DC4A4B">
        <w:rPr>
          <w:rFonts w:ascii="Times New Roman" w:hAnsi="Times New Roman"/>
          <w:sz w:val="22"/>
          <w:szCs w:val="22"/>
          <w:lang w:val="en-US"/>
        </w:rPr>
        <w:t>I</w:t>
      </w:r>
      <w:r w:rsidRPr="00DC4A4B">
        <w:rPr>
          <w:rFonts w:ascii="Times New Roman" w:hAnsi="Times New Roman"/>
          <w:sz w:val="22"/>
          <w:szCs w:val="22"/>
        </w:rPr>
        <w:t xml:space="preserve"> до </w:t>
      </w:r>
      <w:r w:rsidRPr="00DC4A4B">
        <w:rPr>
          <w:rFonts w:ascii="Times New Roman" w:hAnsi="Times New Roman"/>
          <w:sz w:val="22"/>
          <w:szCs w:val="22"/>
          <w:lang w:val="en-US"/>
        </w:rPr>
        <w:t>IV</w:t>
      </w:r>
      <w:r w:rsidRPr="00DC4A4B">
        <w:rPr>
          <w:rFonts w:ascii="Times New Roman" w:hAnsi="Times New Roman"/>
          <w:sz w:val="22"/>
          <w:szCs w:val="22"/>
        </w:rPr>
        <w:t xml:space="preserve"> клас намалява устойчиво в последните 10 и повече години, като всяко десето дете не е обхванато в (иначе задължителното) </w:t>
      </w:r>
      <w:r w:rsidRPr="00DC4A4B">
        <w:rPr>
          <w:rFonts w:ascii="Times New Roman" w:eastAsia="Calibri" w:hAnsi="Times New Roman"/>
          <w:b/>
          <w:color w:val="4F81BD"/>
          <w:sz w:val="22"/>
          <w:szCs w:val="22"/>
          <w:lang w:eastAsia="en-US"/>
        </w:rPr>
        <w:t>начално образование</w:t>
      </w:r>
      <w:r w:rsidRPr="00DC4A4B">
        <w:rPr>
          <w:rFonts w:ascii="Times New Roman" w:hAnsi="Times New Roman"/>
          <w:sz w:val="22"/>
          <w:szCs w:val="22"/>
        </w:rPr>
        <w:t xml:space="preserve"> през учебната 2017-2018 г. Още по-нисък е обхватът на </w:t>
      </w:r>
      <w:r w:rsidRPr="00DC4A4B">
        <w:rPr>
          <w:rFonts w:ascii="Times New Roman" w:eastAsia="Calibri" w:hAnsi="Times New Roman"/>
          <w:b/>
          <w:color w:val="4F81BD"/>
          <w:sz w:val="22"/>
          <w:szCs w:val="22"/>
          <w:lang w:eastAsia="en-US"/>
        </w:rPr>
        <w:t>прогимназиалното и средно образование</w:t>
      </w:r>
      <w:r w:rsidRPr="00DC4A4B">
        <w:rPr>
          <w:rFonts w:ascii="Times New Roman" w:hAnsi="Times New Roman"/>
          <w:sz w:val="22"/>
          <w:szCs w:val="22"/>
        </w:rPr>
        <w:t>, достигащ 82.6% през учебната 2017-2018 г. Демографските предизвикателства и провежданите реформи в областта на образованието водят до закриването на над 1 000 училища от началото на века. Броят на учениците от I до XII</w:t>
      </w:r>
      <w:r w:rsidRPr="00DC4A4B">
        <w:rPr>
          <w:rFonts w:ascii="Times New Roman" w:hAnsi="Times New Roman"/>
          <w:sz w:val="22"/>
          <w:szCs w:val="22"/>
          <w:lang w:val="en-US"/>
        </w:rPr>
        <w:t>I</w:t>
      </w:r>
      <w:r w:rsidRPr="00DC4A4B">
        <w:rPr>
          <w:rFonts w:ascii="Times New Roman" w:hAnsi="Times New Roman"/>
          <w:sz w:val="22"/>
          <w:szCs w:val="22"/>
        </w:rPr>
        <w:t xml:space="preserve"> клас за същия период спада с малко над 1/3 или около 300 хил. души. Закриването на образователни институции, особено в малки населени места, заедно с други фактори, като социални и семейни причини, негативно отношение към учебния процес и липса на мотивация, трудности при усвояването на учебния материал и др., рефлектира и в значителен дял на </w:t>
      </w:r>
      <w:r w:rsidRPr="00DC4A4B">
        <w:rPr>
          <w:rFonts w:ascii="Times New Roman" w:eastAsia="Calibri" w:hAnsi="Times New Roman"/>
          <w:b/>
          <w:color w:val="4F81BD"/>
          <w:sz w:val="22"/>
          <w:szCs w:val="22"/>
          <w:lang w:eastAsia="en-US"/>
        </w:rPr>
        <w:t>преждевременно напусналите образование и обучение</w:t>
      </w:r>
      <w:r w:rsidRPr="00DC4A4B">
        <w:rPr>
          <w:rFonts w:ascii="Times New Roman" w:hAnsi="Times New Roman"/>
          <w:sz w:val="22"/>
          <w:szCs w:val="22"/>
        </w:rPr>
        <w:t>, достигащ 12.7% през 2017 г. (сравнено с 10.6% - средно за ЕС). Особено висок е този дял в Югоизточен (22%) и Северозападен (21.6%) райони. Делът на напусналите училище в големите градове в България е 3.9% и е почти 2.5 пъти по-нисък от средното ниво за ЕС (9.7%), докато стойността на показателя в селските райони в България  достига 27.9% при 10.9% средно в ЕС.</w:t>
      </w:r>
      <w:r>
        <w:rPr>
          <w:rFonts w:ascii="Times New Roman" w:hAnsi="Times New Roman"/>
          <w:sz w:val="22"/>
          <w:szCs w:val="22"/>
        </w:rPr>
        <w:t xml:space="preserve"> Въпреки че проблемът с напускащите образование и обучение е адресиран с целенасочени интервенции през последните години, в т.ч. и със специален фокус върху етническите малцинства, при които проблемът е особено остър, динамиката на стойността на индикатора показва ниска ефективност на осъществяваните мерки и необходимост от прецизирането им и/или разширяване на техния обхват.</w:t>
      </w:r>
    </w:p>
    <w:p w:rsidR="00AE0F90" w:rsidRPr="00DC4A4B" w:rsidRDefault="00AE0F90" w:rsidP="00AE0F90">
      <w:pPr>
        <w:pStyle w:val="CommentText"/>
        <w:spacing w:line="269" w:lineRule="auto"/>
        <w:jc w:val="both"/>
        <w:rPr>
          <w:rFonts w:ascii="Times New Roman" w:hAnsi="Times New Roman"/>
          <w:sz w:val="22"/>
          <w:szCs w:val="22"/>
        </w:rPr>
      </w:pPr>
      <w:r w:rsidRPr="00DC4A4B">
        <w:rPr>
          <w:rFonts w:ascii="Times New Roman" w:hAnsi="Times New Roman"/>
          <w:sz w:val="22"/>
          <w:szCs w:val="22"/>
        </w:rPr>
        <w:t xml:space="preserve">Сред неблагоприятните тенденции в сферата на образованието е и </w:t>
      </w:r>
      <w:r w:rsidRPr="00DC4A4B">
        <w:rPr>
          <w:rFonts w:ascii="Times New Roman" w:eastAsia="Calibri" w:hAnsi="Times New Roman"/>
          <w:b/>
          <w:color w:val="4F81BD"/>
          <w:sz w:val="22"/>
          <w:szCs w:val="22"/>
          <w:lang w:eastAsia="en-US"/>
        </w:rPr>
        <w:t>застаряването на педагогическия състав</w:t>
      </w:r>
      <w:r w:rsidRPr="00DC4A4B">
        <w:rPr>
          <w:rFonts w:ascii="Times New Roman" w:hAnsi="Times New Roman"/>
          <w:sz w:val="22"/>
          <w:szCs w:val="22"/>
        </w:rPr>
        <w:t xml:space="preserve">. Международното изследване за преподаване и учене </w:t>
      </w:r>
      <w:r w:rsidRPr="00DC4A4B">
        <w:rPr>
          <w:rFonts w:ascii="Times New Roman" w:hAnsi="Times New Roman"/>
          <w:i/>
          <w:sz w:val="22"/>
          <w:szCs w:val="22"/>
        </w:rPr>
        <w:t>TALIS</w:t>
      </w:r>
      <w:r w:rsidRPr="00DC4A4B">
        <w:rPr>
          <w:rFonts w:ascii="Times New Roman" w:hAnsi="Times New Roman"/>
          <w:sz w:val="22"/>
          <w:szCs w:val="22"/>
        </w:rPr>
        <w:t xml:space="preserve"> на ОИСР показва, че 47% от учителите в България са на възраст над 50 години и едва 3% са под 30-годишни. За сравнение, съответните данни за Сингапур</w:t>
      </w:r>
      <w:r w:rsidRPr="00DC4A4B">
        <w:rPr>
          <w:rStyle w:val="FootnoteReference"/>
          <w:rFonts w:ascii="Times New Roman" w:hAnsi="Times New Roman"/>
          <w:sz w:val="22"/>
          <w:szCs w:val="22"/>
        </w:rPr>
        <w:footnoteReference w:id="25"/>
      </w:r>
      <w:r w:rsidRPr="00DC4A4B">
        <w:rPr>
          <w:rFonts w:ascii="Times New Roman" w:hAnsi="Times New Roman"/>
          <w:sz w:val="22"/>
          <w:szCs w:val="22"/>
        </w:rPr>
        <w:t xml:space="preserve"> са 12% (над 50 години) и 32% (под 30 години). Въпреки че застаряване на педагогическия състав се наблюдава и в другите държави – членки на ЕС, в България проблемът е особено изострен, като само учителите в Естония и Латвия са с по-висок среден стаж. Високата средна възраст на педагогическия състав се свързва, от една страна, с риск от сериозен недостиг на учители в средносрочен план, при достигане на пенсионна възраст на най-възрастните учители. Същевременно, възрастовият профил на учителите компрометира ефективността на предприемани реформи в образователните системи и програми, </w:t>
      </w:r>
      <w:proofErr w:type="spellStart"/>
      <w:r w:rsidRPr="00DC4A4B">
        <w:rPr>
          <w:rFonts w:ascii="Times New Roman" w:hAnsi="Times New Roman"/>
          <w:sz w:val="22"/>
          <w:szCs w:val="22"/>
        </w:rPr>
        <w:t>т.к</w:t>
      </w:r>
      <w:proofErr w:type="spellEnd"/>
      <w:r w:rsidRPr="00DC4A4B">
        <w:rPr>
          <w:rFonts w:ascii="Times New Roman" w:hAnsi="Times New Roman"/>
          <w:sz w:val="22"/>
          <w:szCs w:val="22"/>
        </w:rPr>
        <w:t xml:space="preserve">. учителите  с  установени преподавателски навици от дълги години много по-трудно се адаптират към промените и трябва да положат много повече усилия, за да могат да бъдат в крак със съвременните изисквания на преподаването, например навлизането на цифровите технологии. В изследването </w:t>
      </w:r>
      <w:proofErr w:type="spellStart"/>
      <w:r w:rsidRPr="00DC4A4B">
        <w:rPr>
          <w:rFonts w:ascii="Times New Roman" w:hAnsi="Times New Roman"/>
          <w:i/>
          <w:sz w:val="22"/>
          <w:szCs w:val="22"/>
        </w:rPr>
        <w:t>Global</w:t>
      </w:r>
      <w:proofErr w:type="spellEnd"/>
      <w:r w:rsidRPr="00DC4A4B">
        <w:rPr>
          <w:rFonts w:ascii="Times New Roman" w:hAnsi="Times New Roman"/>
          <w:i/>
          <w:sz w:val="22"/>
          <w:szCs w:val="22"/>
        </w:rPr>
        <w:t xml:space="preserve"> </w:t>
      </w:r>
      <w:proofErr w:type="spellStart"/>
      <w:r w:rsidRPr="00DC4A4B">
        <w:rPr>
          <w:rFonts w:ascii="Times New Roman" w:hAnsi="Times New Roman"/>
          <w:i/>
          <w:sz w:val="22"/>
          <w:szCs w:val="22"/>
        </w:rPr>
        <w:t>Competitiveness</w:t>
      </w:r>
      <w:proofErr w:type="spellEnd"/>
      <w:r w:rsidRPr="00DC4A4B">
        <w:rPr>
          <w:rFonts w:ascii="Times New Roman" w:hAnsi="Times New Roman"/>
          <w:i/>
          <w:sz w:val="22"/>
          <w:szCs w:val="22"/>
        </w:rPr>
        <w:t xml:space="preserve"> </w:t>
      </w:r>
      <w:proofErr w:type="spellStart"/>
      <w:r w:rsidRPr="00DC4A4B">
        <w:rPr>
          <w:rFonts w:ascii="Times New Roman" w:hAnsi="Times New Roman"/>
          <w:i/>
          <w:sz w:val="22"/>
          <w:szCs w:val="22"/>
        </w:rPr>
        <w:t>Report</w:t>
      </w:r>
      <w:proofErr w:type="spellEnd"/>
      <w:r w:rsidRPr="00DC4A4B">
        <w:rPr>
          <w:rFonts w:ascii="Times New Roman" w:hAnsi="Times New Roman"/>
          <w:i/>
          <w:sz w:val="22"/>
          <w:szCs w:val="22"/>
        </w:rPr>
        <w:t xml:space="preserve"> 2017-2018</w:t>
      </w:r>
      <w:r w:rsidRPr="00DC4A4B">
        <w:rPr>
          <w:rFonts w:ascii="Times New Roman" w:hAnsi="Times New Roman"/>
          <w:sz w:val="22"/>
          <w:szCs w:val="22"/>
        </w:rPr>
        <w:t xml:space="preserve"> на Световния икономически форум България е класирана на 118-то място в света (и на 26-то място в ЕС, изпреварвайки само Румъния и Хърватска) по ниво на подготовка на персонала в образователната система.</w:t>
      </w:r>
    </w:p>
    <w:p w:rsidR="00AE0F90" w:rsidRPr="00DC4A4B" w:rsidRDefault="00AE0F90" w:rsidP="00AE0F90">
      <w:pPr>
        <w:pStyle w:val="CommentText"/>
        <w:spacing w:line="269" w:lineRule="auto"/>
        <w:jc w:val="both"/>
        <w:rPr>
          <w:rFonts w:ascii="Times New Roman" w:hAnsi="Times New Roman"/>
          <w:sz w:val="22"/>
          <w:szCs w:val="22"/>
        </w:rPr>
      </w:pPr>
      <w:r w:rsidRPr="00DC4A4B">
        <w:rPr>
          <w:rFonts w:ascii="Times New Roman" w:hAnsi="Times New Roman"/>
          <w:sz w:val="22"/>
          <w:szCs w:val="22"/>
        </w:rPr>
        <w:t xml:space="preserve">Продължава тенденцията на намаляване на относителния дял на учащите в </w:t>
      </w:r>
      <w:r w:rsidRPr="00DC4A4B">
        <w:rPr>
          <w:rFonts w:ascii="Times New Roman" w:eastAsia="Calibri" w:hAnsi="Times New Roman"/>
          <w:b/>
          <w:color w:val="4F81BD"/>
          <w:sz w:val="22"/>
          <w:szCs w:val="22"/>
          <w:lang w:eastAsia="en-US"/>
        </w:rPr>
        <w:t xml:space="preserve">професионалното образование и обучение </w:t>
      </w:r>
      <w:r w:rsidRPr="00DC4A4B">
        <w:rPr>
          <w:rFonts w:ascii="Times New Roman" w:hAnsi="Times New Roman"/>
          <w:sz w:val="22"/>
          <w:szCs w:val="22"/>
        </w:rPr>
        <w:t xml:space="preserve">(ПОО), въпреки че все още остава по-висок от средния за ЕС. При това един от всеки трима учащи завършва без </w:t>
      </w:r>
      <w:r w:rsidR="00ED3E87">
        <w:rPr>
          <w:rFonts w:ascii="Times New Roman" w:hAnsi="Times New Roman"/>
          <w:sz w:val="22"/>
          <w:szCs w:val="22"/>
        </w:rPr>
        <w:t xml:space="preserve">придобита степен на </w:t>
      </w:r>
      <w:r w:rsidRPr="00DC4A4B">
        <w:rPr>
          <w:rFonts w:ascii="Times New Roman" w:hAnsi="Times New Roman"/>
          <w:sz w:val="22"/>
          <w:szCs w:val="22"/>
        </w:rPr>
        <w:t xml:space="preserve">професионална </w:t>
      </w:r>
      <w:r w:rsidR="00ED3E87">
        <w:rPr>
          <w:rFonts w:ascii="Times New Roman" w:hAnsi="Times New Roman"/>
          <w:sz w:val="22"/>
          <w:szCs w:val="22"/>
        </w:rPr>
        <w:t>квалификация</w:t>
      </w:r>
      <w:r w:rsidRPr="00DC4A4B">
        <w:rPr>
          <w:rFonts w:ascii="Times New Roman" w:hAnsi="Times New Roman"/>
          <w:sz w:val="22"/>
          <w:szCs w:val="22"/>
        </w:rPr>
        <w:t>, а равнището на заетост на наскоро завършилите ПОО (64.2%) е с 10.8 процентни пункта под средното за ЕС</w:t>
      </w:r>
      <w:r w:rsidRPr="00DC4A4B">
        <w:rPr>
          <w:rStyle w:val="FootnoteReference"/>
          <w:rFonts w:ascii="Times New Roman" w:hAnsi="Times New Roman"/>
          <w:sz w:val="22"/>
          <w:szCs w:val="22"/>
        </w:rPr>
        <w:footnoteReference w:id="26"/>
      </w:r>
      <w:r w:rsidRPr="00DC4A4B">
        <w:rPr>
          <w:rFonts w:ascii="Times New Roman" w:hAnsi="Times New Roman"/>
          <w:sz w:val="22"/>
          <w:szCs w:val="22"/>
        </w:rPr>
        <w:t>, което е показателно за все още ниското качество на образователната услуга, предоставяна в системата на ПОО.</w:t>
      </w:r>
      <w:r w:rsidRPr="00DC4A4B">
        <w:rPr>
          <w:rFonts w:ascii="Times New Roman" w:hAnsi="Times New Roman"/>
        </w:rPr>
        <w:t xml:space="preserve"> </w:t>
      </w:r>
      <w:r w:rsidRPr="00DC4A4B">
        <w:rPr>
          <w:rFonts w:ascii="Times New Roman" w:hAnsi="Times New Roman"/>
          <w:sz w:val="22"/>
          <w:szCs w:val="22"/>
        </w:rPr>
        <w:t xml:space="preserve">Основните предизвикателства пред ПОО в България традиционно са свързани с: недостатъчно ефективното сътрудничество със социално-икономическите партньори; недостатъчно съответствие на предоставяното ПОО с изискванията и потребностите на бизнеса; недостатъчна гъвкавост на системата за справяне с ранното отпадане от училище преди придобиване на професионална квалификация; липса </w:t>
      </w:r>
      <w:r w:rsidRPr="00DC4A4B">
        <w:rPr>
          <w:rFonts w:ascii="Times New Roman" w:hAnsi="Times New Roman"/>
          <w:sz w:val="22"/>
          <w:szCs w:val="22"/>
        </w:rPr>
        <w:lastRenderedPageBreak/>
        <w:t xml:space="preserve">на гъвкави възможности за повторно включване в професионално обучение. </w:t>
      </w:r>
      <w:r w:rsidRPr="000724F2">
        <w:rPr>
          <w:rFonts w:ascii="Times New Roman" w:hAnsi="Times New Roman"/>
          <w:sz w:val="22"/>
          <w:szCs w:val="22"/>
        </w:rPr>
        <w:t>Все още е твърдо рано да бъдат оценени предприетите в последните години усилия за адаптиране на ПОО към нуждите на пазара на труда, чрез промените в Закона за предучилищното и училищното образование и държавните образователни стандарти, както и чрез въвеждането на системата на чиракуването (</w:t>
      </w:r>
      <w:proofErr w:type="spellStart"/>
      <w:r w:rsidRPr="000724F2">
        <w:rPr>
          <w:rFonts w:ascii="Times New Roman" w:hAnsi="Times New Roman"/>
          <w:sz w:val="22"/>
          <w:szCs w:val="22"/>
        </w:rPr>
        <w:t>дуалното</w:t>
      </w:r>
      <w:proofErr w:type="spellEnd"/>
      <w:r w:rsidRPr="000724F2">
        <w:rPr>
          <w:rFonts w:ascii="Times New Roman" w:hAnsi="Times New Roman"/>
          <w:sz w:val="22"/>
          <w:szCs w:val="22"/>
        </w:rPr>
        <w:t xml:space="preserve"> обучение)</w:t>
      </w:r>
      <w:r>
        <w:rPr>
          <w:rStyle w:val="FootnoteReference"/>
          <w:rFonts w:ascii="Times New Roman" w:hAnsi="Times New Roman"/>
          <w:sz w:val="22"/>
          <w:szCs w:val="22"/>
        </w:rPr>
        <w:footnoteReference w:id="27"/>
      </w:r>
      <w:r w:rsidRPr="000724F2">
        <w:rPr>
          <w:rFonts w:ascii="Times New Roman" w:hAnsi="Times New Roman"/>
          <w:sz w:val="22"/>
          <w:szCs w:val="22"/>
        </w:rPr>
        <w:t>.</w:t>
      </w:r>
    </w:p>
    <w:p w:rsidR="00AE0F90" w:rsidRDefault="00AE0F90" w:rsidP="00AE0F90">
      <w:pPr>
        <w:spacing w:line="269" w:lineRule="auto"/>
        <w:jc w:val="both"/>
        <w:rPr>
          <w:rFonts w:ascii="Times New Roman" w:hAnsi="Times New Roman"/>
        </w:rPr>
      </w:pPr>
      <w:r w:rsidRPr="00DC4A4B">
        <w:rPr>
          <w:rFonts w:ascii="Times New Roman" w:hAnsi="Times New Roman"/>
        </w:rPr>
        <w:t xml:space="preserve">Системата на </w:t>
      </w:r>
      <w:r w:rsidRPr="00DC4A4B">
        <w:rPr>
          <w:rFonts w:ascii="Times New Roman" w:hAnsi="Times New Roman"/>
          <w:b/>
          <w:color w:val="365F91"/>
        </w:rPr>
        <w:t>висшето образование</w:t>
      </w:r>
      <w:r w:rsidRPr="00DC4A4B">
        <w:rPr>
          <w:rFonts w:ascii="Times New Roman" w:hAnsi="Times New Roman"/>
        </w:rPr>
        <w:t xml:space="preserve"> в България обхваща 5</w:t>
      </w:r>
      <w:r>
        <w:rPr>
          <w:rFonts w:ascii="Times New Roman" w:hAnsi="Times New Roman"/>
        </w:rPr>
        <w:t>1</w:t>
      </w:r>
      <w:r w:rsidRPr="00DC4A4B">
        <w:rPr>
          <w:rFonts w:ascii="Times New Roman" w:hAnsi="Times New Roman"/>
        </w:rPr>
        <w:t xml:space="preserve"> висши училища, преобладаващата част от които са относително малки и тясно специализирани. Броят на висшите училища е значително по-висок от наблюдавания в сравнимите (като територия и население) с България държави – членки на ЕС. Системата е ориентирана към масов прием</w:t>
      </w:r>
      <w:r w:rsidRPr="00DC4A4B">
        <w:rPr>
          <w:rStyle w:val="FootnoteReference"/>
          <w:rFonts w:ascii="Times New Roman" w:hAnsi="Times New Roman"/>
        </w:rPr>
        <w:footnoteReference w:id="28"/>
      </w:r>
      <w:r w:rsidRPr="00DC4A4B">
        <w:rPr>
          <w:rFonts w:ascii="Times New Roman" w:hAnsi="Times New Roman"/>
        </w:rPr>
        <w:t>, което, от една страна, способства тенденцията на постоянно подобряване на образователната структура на населението, но – от друга – в значителна степен е за сметка на качеството и приложимостта на предлаганите образователни програми, като по-малко от 1/</w:t>
      </w:r>
      <w:r w:rsidR="00ED3E87">
        <w:rPr>
          <w:rFonts w:ascii="Times New Roman" w:hAnsi="Times New Roman"/>
        </w:rPr>
        <w:t>2</w:t>
      </w:r>
      <w:r w:rsidR="00ED3E87">
        <w:rPr>
          <w:rStyle w:val="FootnoteReference"/>
          <w:rFonts w:ascii="Times New Roman" w:hAnsi="Times New Roman"/>
        </w:rPr>
        <w:footnoteReference w:id="29"/>
      </w:r>
      <w:r w:rsidRPr="00DC4A4B">
        <w:rPr>
          <w:rFonts w:ascii="Times New Roman" w:hAnsi="Times New Roman"/>
        </w:rPr>
        <w:t xml:space="preserve"> от завършващите студенти се реализират по съответната професия. Съотношението студенти-преподаватели (12.4 през 2016 г.) е по-ниско от средното за ЕС (15), при маркирана тенденция на допълнителното му намаляване в последните години, което е показателно за относително ниска (в рамките на ЕС) и допълнително намаляваща ефективност на инвестициите в сектора. Системата реагира бавно на променящите се изисквания на пазара на труда както по отношение на квалификацията и уменията на излизащите от нея специалисти, така и по отношение на търсените професии. На пазара на труда има недостиг на квалифицирани кадри в сферата на ИКТ, педагогическите и инженерните науки, както и в системата на здравеопазването. Въпреки това броят на завършилите висше образование в тези специалности е по-скоро малък, особено в областта на здравеопазването. Броят на дипломиралите се в областта на точните науки, технологиите, инженерството и математиката или свързани специалности е 13.7</w:t>
      </w:r>
      <w:r w:rsidRPr="00DC4A4B">
        <w:rPr>
          <w:rStyle w:val="FootnoteReference"/>
          <w:rFonts w:ascii="Times New Roman" w:hAnsi="Times New Roman"/>
        </w:rPr>
        <w:footnoteReference w:id="30"/>
      </w:r>
      <w:r w:rsidRPr="00DC4A4B">
        <w:rPr>
          <w:rFonts w:ascii="Times New Roman" w:hAnsi="Times New Roman"/>
        </w:rPr>
        <w:t xml:space="preserve"> на 1</w:t>
      </w:r>
      <w:r>
        <w:rPr>
          <w:rFonts w:ascii="Times New Roman" w:hAnsi="Times New Roman"/>
        </w:rPr>
        <w:t xml:space="preserve"> </w:t>
      </w:r>
      <w:r w:rsidRPr="00DC4A4B">
        <w:rPr>
          <w:rFonts w:ascii="Times New Roman" w:hAnsi="Times New Roman"/>
        </w:rPr>
        <w:t xml:space="preserve">000 жители на възраст 20-29 години, в сравнение с 18.7 </w:t>
      </w:r>
      <w:r>
        <w:rPr>
          <w:rFonts w:ascii="Times New Roman" w:hAnsi="Times New Roman"/>
        </w:rPr>
        <w:t xml:space="preserve">на 1 000 </w:t>
      </w:r>
      <w:r w:rsidRPr="00DC4A4B">
        <w:rPr>
          <w:rFonts w:ascii="Times New Roman" w:hAnsi="Times New Roman"/>
        </w:rPr>
        <w:t>жители средно в ЕС. Същевременно всеки трети завършващ студент традиционно е със специалност в областта „</w:t>
      </w:r>
      <w:r w:rsidRPr="00F72BC8">
        <w:rPr>
          <w:rFonts w:ascii="Times New Roman" w:hAnsi="Times New Roman"/>
          <w:i/>
        </w:rPr>
        <w:t>Стопански науки и администрация</w:t>
      </w:r>
      <w:r w:rsidRPr="00DC4A4B">
        <w:rPr>
          <w:rFonts w:ascii="Times New Roman" w:hAnsi="Times New Roman"/>
        </w:rPr>
        <w:t>“, въпреки че пазарът на труда е преситен с такива специалисти.</w:t>
      </w:r>
      <w:r w:rsidR="00F70070" w:rsidRPr="00F70070">
        <w:t xml:space="preserve"> </w:t>
      </w:r>
      <w:r w:rsidR="00F70070" w:rsidRPr="00F70070">
        <w:rPr>
          <w:rFonts w:ascii="Times New Roman" w:hAnsi="Times New Roman"/>
        </w:rPr>
        <w:t>Предприетите целенасочени действия на правителството през последните 2 години (в т.ч. за ограничаване броя на студентите в конкретни професионални направления с излишък на кадри, така и за повишаване на приема в специалности с доказан недостиг на квалифицирани специалисти) все още е твърде рано да покажат резултат</w:t>
      </w:r>
      <w:r w:rsidR="00F70070">
        <w:rPr>
          <w:rFonts w:ascii="Times New Roman" w:hAnsi="Times New Roman"/>
        </w:rPr>
        <w:t>.</w:t>
      </w:r>
    </w:p>
    <w:p w:rsidR="00AE0F90" w:rsidRDefault="00AE0F90" w:rsidP="00AE0F90">
      <w:pPr>
        <w:spacing w:line="269" w:lineRule="auto"/>
        <w:jc w:val="both"/>
        <w:rPr>
          <w:rFonts w:ascii="Times New Roman" w:hAnsi="Times New Roman"/>
        </w:rPr>
      </w:pPr>
      <w:r>
        <w:rPr>
          <w:rFonts w:ascii="Times New Roman" w:hAnsi="Times New Roman"/>
        </w:rPr>
        <w:t xml:space="preserve">В </w:t>
      </w:r>
      <w:r w:rsidRPr="00B819E0">
        <w:rPr>
          <w:rFonts w:ascii="Times New Roman" w:hAnsi="Times New Roman"/>
        </w:rPr>
        <w:t>една от най-престижните световни класации на най-добрите висши училища по света</w:t>
      </w:r>
      <w:r>
        <w:rPr>
          <w:rFonts w:ascii="Times New Roman" w:hAnsi="Times New Roman"/>
        </w:rPr>
        <w:t xml:space="preserve">, </w:t>
      </w:r>
      <w:r w:rsidRPr="00662420">
        <w:rPr>
          <w:rFonts w:ascii="Times New Roman" w:hAnsi="Times New Roman"/>
          <w:i/>
        </w:rPr>
        <w:t xml:space="preserve">QS World </w:t>
      </w:r>
      <w:proofErr w:type="spellStart"/>
      <w:r w:rsidRPr="00662420">
        <w:rPr>
          <w:rFonts w:ascii="Times New Roman" w:hAnsi="Times New Roman"/>
          <w:i/>
        </w:rPr>
        <w:t>University</w:t>
      </w:r>
      <w:proofErr w:type="spellEnd"/>
      <w:r w:rsidRPr="00662420">
        <w:rPr>
          <w:rFonts w:ascii="Times New Roman" w:hAnsi="Times New Roman"/>
          <w:i/>
        </w:rPr>
        <w:t xml:space="preserve"> </w:t>
      </w:r>
      <w:proofErr w:type="spellStart"/>
      <w:r w:rsidRPr="00662420">
        <w:rPr>
          <w:rFonts w:ascii="Times New Roman" w:hAnsi="Times New Roman"/>
          <w:i/>
        </w:rPr>
        <w:t>Ranking</w:t>
      </w:r>
      <w:proofErr w:type="spellEnd"/>
      <w:r>
        <w:rPr>
          <w:rFonts w:ascii="Times New Roman" w:hAnsi="Times New Roman"/>
          <w:i/>
        </w:rPr>
        <w:t xml:space="preserve"> 2019</w:t>
      </w:r>
      <w:r w:rsidRPr="00B819E0">
        <w:rPr>
          <w:rFonts w:ascii="Times New Roman" w:hAnsi="Times New Roman"/>
        </w:rPr>
        <w:t>,</w:t>
      </w:r>
      <w:r>
        <w:rPr>
          <w:rFonts w:ascii="Times New Roman" w:hAnsi="Times New Roman"/>
        </w:rPr>
        <w:t xml:space="preserve"> е включен само един български университет – Софийският университет „</w:t>
      </w:r>
      <w:r w:rsidRPr="00F72BC8">
        <w:rPr>
          <w:rFonts w:ascii="Times New Roman" w:hAnsi="Times New Roman"/>
          <w:i/>
        </w:rPr>
        <w:t>Св. Климент Охридски</w:t>
      </w:r>
      <w:r>
        <w:rPr>
          <w:rFonts w:ascii="Times New Roman" w:hAnsi="Times New Roman"/>
        </w:rPr>
        <w:t>“. При това учебното заведение губи бързо позиции – за последните 6 години е регистриран спад в класацията му от групата на университетите, заемащи 650-700 място до последната група на университетите, заемащи 800-1</w:t>
      </w:r>
      <w:r w:rsidR="00E07E67">
        <w:rPr>
          <w:rFonts w:ascii="Times New Roman" w:hAnsi="Times New Roman"/>
        </w:rPr>
        <w:t xml:space="preserve"> </w:t>
      </w:r>
      <w:r>
        <w:rPr>
          <w:rFonts w:ascii="Times New Roman" w:hAnsi="Times New Roman"/>
        </w:rPr>
        <w:t>000 място.</w:t>
      </w:r>
    </w:p>
    <w:p w:rsidR="00AE0F90" w:rsidRPr="00DC4A4B" w:rsidRDefault="00AE0F90" w:rsidP="00AE0F90">
      <w:pPr>
        <w:spacing w:line="269" w:lineRule="auto"/>
        <w:jc w:val="both"/>
        <w:rPr>
          <w:rFonts w:ascii="Times New Roman" w:hAnsi="Times New Roman"/>
        </w:rPr>
      </w:pPr>
      <w:r w:rsidRPr="00DC4A4B">
        <w:rPr>
          <w:rFonts w:ascii="Times New Roman" w:hAnsi="Times New Roman"/>
        </w:rPr>
        <w:t xml:space="preserve">Въпреки известно минимално нарастване през последните няколко години, участието в </w:t>
      </w:r>
      <w:r w:rsidRPr="00DC4A4B">
        <w:rPr>
          <w:rFonts w:ascii="Times New Roman" w:hAnsi="Times New Roman"/>
          <w:b/>
          <w:color w:val="365F91"/>
        </w:rPr>
        <w:t>учене през целия живот</w:t>
      </w:r>
      <w:r w:rsidRPr="00DC4A4B">
        <w:rPr>
          <w:rFonts w:ascii="Times New Roman" w:hAnsi="Times New Roman"/>
        </w:rPr>
        <w:t xml:space="preserve"> (УЦЖ) остава изключително ниско и обхваща едва 2.3% от  лицата на възраст 25-64 години през 2017 г., докато средната за ЕС стойност е 10.9%, а в най-напредналите в това отношение скандинавски страни между 1/4 и 1/3 от населението в тази възрастова група участва в някаква форма на УЦЖ всяка година. При това се наблюдават диспропорции в предлагането на възможности за УЦЖ в регионален план – в Югозападния район стойността на индикатора достига 4%, а в останалите райони се колебае между 1.2% (Северозападен) и 1.8% (Югоизточен и Северен централен). В селските райони на България едва 4.2% от възрастното население</w:t>
      </w:r>
      <w:r w:rsidRPr="00DC4A4B">
        <w:rPr>
          <w:rStyle w:val="FootnoteReference"/>
          <w:rFonts w:ascii="Times New Roman" w:hAnsi="Times New Roman"/>
        </w:rPr>
        <w:footnoteReference w:id="31"/>
      </w:r>
      <w:r w:rsidRPr="00DC4A4B">
        <w:rPr>
          <w:rFonts w:ascii="Times New Roman" w:hAnsi="Times New Roman"/>
        </w:rPr>
        <w:t xml:space="preserve"> участва в УЦЖ (при 13.7% средно за селските райони на ЕС), докато в големите градове всеки десети възрастен участва в някаква форма на обучение или образование (при 19.6% в ЕС). Предлаганите в България форми на УЦЖ </w:t>
      </w:r>
      <w:proofErr w:type="spellStart"/>
      <w:r w:rsidRPr="00DC4A4B">
        <w:rPr>
          <w:rFonts w:ascii="Times New Roman" w:hAnsi="Times New Roman"/>
        </w:rPr>
        <w:t>таргетират</w:t>
      </w:r>
      <w:proofErr w:type="spellEnd"/>
      <w:r w:rsidRPr="00DC4A4B">
        <w:rPr>
          <w:rFonts w:ascii="Times New Roman" w:hAnsi="Times New Roman"/>
        </w:rPr>
        <w:t xml:space="preserve"> относително по-успешно икономически неактивното население (4.6% от лицата на възраст 25-64 години са в УЦЖ </w:t>
      </w:r>
      <w:r w:rsidRPr="00DC4A4B">
        <w:rPr>
          <w:rFonts w:ascii="Times New Roman" w:hAnsi="Times New Roman"/>
        </w:rPr>
        <w:lastRenderedPageBreak/>
        <w:t>през 2017 г.), в сравнение с безработните (1.8% участие в УЦЖ); най-малко привлекателни са предлаганите обучения за квалификация и преквалификация за заетите (1.6%).</w:t>
      </w:r>
    </w:p>
    <w:p w:rsidR="00AE0F90" w:rsidRPr="00DC4A4B" w:rsidRDefault="00AE0F90" w:rsidP="00AE0F90">
      <w:pPr>
        <w:spacing w:line="269" w:lineRule="auto"/>
        <w:jc w:val="both"/>
        <w:rPr>
          <w:rFonts w:ascii="Times New Roman" w:hAnsi="Times New Roman"/>
        </w:rPr>
      </w:pPr>
      <w:r w:rsidRPr="00DC4A4B">
        <w:rPr>
          <w:rFonts w:ascii="Times New Roman" w:hAnsi="Times New Roman"/>
        </w:rPr>
        <w:t>Незадоволително ниското участие в УЦЖ – и следователно ниското ефективно предлагане на възможности за УЦЖ – е съществена пречка пред икономическия растеж. От една страна, почти един на всеки петима възрастни е с никаква или ниска квалификация, което означава и ниска производителност. Отсъствието на възможности, стимули и ефективни механизми за повишаване на квалификацията на възрастното население ограничава растежа на производителността, намалява способността на заетите да се прехвърлят при работодатели, сектори и райони с по-висока добавена стойност и не позволява на безработните и икономически неактивните нискоквалифицирани работници да бъдат интегрирани отново на пазара на труда след получаване на желани от пазара умения. На следващо място, отсъствието на адекватни възможности за УЦЖ не позволява да бъдат компенсирани слабостите на образователната система по изграждане на необходимите познавателни умения в постъпващите на работа, което – в най-добрия случай – бива наваксвано за сметка на работодателя. Не на последно място, в глобален план съществува значителн</w:t>
      </w:r>
      <w:r w:rsidR="00F70070">
        <w:rPr>
          <w:rFonts w:ascii="Times New Roman" w:hAnsi="Times New Roman"/>
        </w:rPr>
        <w:t>о разминаване във времето</w:t>
      </w:r>
      <w:r w:rsidRPr="00DC4A4B">
        <w:rPr>
          <w:rFonts w:ascii="Times New Roman" w:hAnsi="Times New Roman"/>
        </w:rPr>
        <w:t xml:space="preserve"> между структурните промени в икономиката и реакцията на относително тромавата общообразователна система. Според едн</w:t>
      </w:r>
      <w:r w:rsidR="00C856F3">
        <w:rPr>
          <w:rFonts w:ascii="Times New Roman" w:hAnsi="Times New Roman"/>
        </w:rPr>
        <w:t>о</w:t>
      </w:r>
      <w:r w:rsidRPr="00DC4A4B">
        <w:rPr>
          <w:rFonts w:ascii="Times New Roman" w:hAnsi="Times New Roman"/>
        </w:rPr>
        <w:t xml:space="preserve"> популярно изследване, към 2030 г. 60% от излизащите от образователната система ще работят професии, които дори не са съществували в момента, в който те са започвали своето образование</w:t>
      </w:r>
      <w:r w:rsidRPr="00DC4A4B">
        <w:rPr>
          <w:rStyle w:val="FootnoteReference"/>
          <w:rFonts w:ascii="Times New Roman" w:hAnsi="Times New Roman"/>
        </w:rPr>
        <w:footnoteReference w:id="32"/>
      </w:r>
      <w:r w:rsidRPr="00DC4A4B">
        <w:rPr>
          <w:rFonts w:ascii="Times New Roman" w:hAnsi="Times New Roman"/>
        </w:rPr>
        <w:t>. В средносрочен план тази слабост на общообразователната система се адресира най-лесно чрез различни форми на УЦЖ, които са доста по-гъвкави и – при предоставяне на подходящите стимули за доставчиците на обучение – своевременно адресиращи нуждите на пазара.</w:t>
      </w:r>
    </w:p>
    <w:p w:rsidR="00AE0F90" w:rsidRPr="00DC4A4B" w:rsidRDefault="00AE0F90" w:rsidP="00AE0F90">
      <w:pPr>
        <w:spacing w:line="269" w:lineRule="auto"/>
        <w:jc w:val="both"/>
        <w:rPr>
          <w:rFonts w:ascii="Times New Roman" w:hAnsi="Times New Roman"/>
        </w:rPr>
      </w:pPr>
      <w:r w:rsidRPr="00DC4A4B">
        <w:rPr>
          <w:rFonts w:ascii="Times New Roman" w:hAnsi="Times New Roman"/>
          <w:b/>
          <w:color w:val="365F91"/>
        </w:rPr>
        <w:t xml:space="preserve">Ученето на работното място </w:t>
      </w:r>
      <w:r w:rsidRPr="00DC4A4B">
        <w:rPr>
          <w:rFonts w:ascii="Times New Roman" w:hAnsi="Times New Roman"/>
        </w:rPr>
        <w:t xml:space="preserve">е важен аспект от УЦЖ, даващо, от една страна, възможност на работниците да осъвременяват своите знания, умения и компетентности, да придобиват нови умения и да повишават пригодността си за заетост. От друга страна, ученето на работното място е от полза и за работодателите, тъй като повишава производителността, а следователно и конкурентоспособността. То е особено важен инструмент за осигуряване на квалифицирани кадри в условията на нарастващи несъответствия между търсене и предлагане на пазара на труда, не на последно място породени и от бързото разпространение на новите технологии и дигитализация на икономиката. Тревожен е фактът, че този аспект на УЦЖ е изключително слабо развит в страната, като представянето на България по съответния показател в изследването </w:t>
      </w:r>
      <w:proofErr w:type="spellStart"/>
      <w:r w:rsidRPr="00DC4A4B">
        <w:rPr>
          <w:rFonts w:ascii="Times New Roman" w:hAnsi="Times New Roman"/>
          <w:i/>
        </w:rPr>
        <w:t>Global</w:t>
      </w:r>
      <w:proofErr w:type="spellEnd"/>
      <w:r w:rsidRPr="00DC4A4B">
        <w:rPr>
          <w:rFonts w:ascii="Times New Roman" w:hAnsi="Times New Roman"/>
          <w:i/>
        </w:rPr>
        <w:t xml:space="preserve"> </w:t>
      </w:r>
      <w:proofErr w:type="spellStart"/>
      <w:r w:rsidRPr="00DC4A4B">
        <w:rPr>
          <w:rFonts w:ascii="Times New Roman" w:hAnsi="Times New Roman"/>
          <w:i/>
        </w:rPr>
        <w:t>Competitiveness</w:t>
      </w:r>
      <w:proofErr w:type="spellEnd"/>
      <w:r w:rsidRPr="00DC4A4B">
        <w:rPr>
          <w:rFonts w:ascii="Times New Roman" w:hAnsi="Times New Roman"/>
          <w:i/>
        </w:rPr>
        <w:t xml:space="preserve"> </w:t>
      </w:r>
      <w:proofErr w:type="spellStart"/>
      <w:r w:rsidRPr="00DC4A4B">
        <w:rPr>
          <w:rFonts w:ascii="Times New Roman" w:hAnsi="Times New Roman"/>
          <w:i/>
        </w:rPr>
        <w:t>Report</w:t>
      </w:r>
      <w:proofErr w:type="spellEnd"/>
      <w:r w:rsidRPr="00DC4A4B">
        <w:rPr>
          <w:rFonts w:ascii="Times New Roman" w:hAnsi="Times New Roman"/>
          <w:i/>
        </w:rPr>
        <w:t xml:space="preserve"> 2017-2018</w:t>
      </w:r>
      <w:r w:rsidRPr="00DC4A4B">
        <w:rPr>
          <w:rFonts w:ascii="Times New Roman" w:hAnsi="Times New Roman"/>
        </w:rPr>
        <w:t xml:space="preserve"> на Световния икономически форум я поставя на 116-то място в света (и последното 28-мо място в ЕС). При това неглижирането на проблема през последните десет години </w:t>
      </w:r>
      <w:r>
        <w:rPr>
          <w:rFonts w:ascii="Times New Roman" w:hAnsi="Times New Roman"/>
        </w:rPr>
        <w:t>води</w:t>
      </w:r>
      <w:r w:rsidRPr="00DC4A4B">
        <w:rPr>
          <w:rFonts w:ascii="Times New Roman" w:hAnsi="Times New Roman"/>
        </w:rPr>
        <w:t xml:space="preserve"> до отстъпление с над 20 места в класацията.</w:t>
      </w:r>
    </w:p>
    <w:p w:rsidR="00AE0F90" w:rsidRPr="00DC4A4B" w:rsidRDefault="00AE0F90" w:rsidP="00AE0F90">
      <w:pPr>
        <w:spacing w:line="269" w:lineRule="auto"/>
        <w:jc w:val="both"/>
        <w:rPr>
          <w:rFonts w:ascii="Times New Roman" w:hAnsi="Times New Roman"/>
        </w:rPr>
      </w:pPr>
      <w:r w:rsidRPr="00DC4A4B">
        <w:rPr>
          <w:rFonts w:ascii="Times New Roman" w:hAnsi="Times New Roman"/>
        </w:rPr>
        <w:t xml:space="preserve">Сериозен проблем, характеризиращ квалификацията на човешките ресурси в страната, е ниското ниво на </w:t>
      </w:r>
      <w:r w:rsidRPr="00DC4A4B">
        <w:rPr>
          <w:rFonts w:ascii="Times New Roman" w:hAnsi="Times New Roman"/>
          <w:b/>
          <w:color w:val="365F91"/>
        </w:rPr>
        <w:t xml:space="preserve">компютърни и </w:t>
      </w:r>
      <w:r w:rsidR="00F70070">
        <w:rPr>
          <w:rFonts w:ascii="Times New Roman" w:hAnsi="Times New Roman"/>
          <w:b/>
          <w:color w:val="365F91"/>
        </w:rPr>
        <w:t>цифрови</w:t>
      </w:r>
      <w:r w:rsidR="00F70070" w:rsidRPr="00DC4A4B">
        <w:rPr>
          <w:rFonts w:ascii="Times New Roman" w:hAnsi="Times New Roman"/>
          <w:b/>
          <w:color w:val="365F91"/>
        </w:rPr>
        <w:t xml:space="preserve"> </w:t>
      </w:r>
      <w:r w:rsidRPr="00DC4A4B">
        <w:rPr>
          <w:rFonts w:ascii="Times New Roman" w:hAnsi="Times New Roman"/>
          <w:b/>
          <w:color w:val="365F91"/>
        </w:rPr>
        <w:t>умения</w:t>
      </w:r>
      <w:r w:rsidRPr="00DC4A4B">
        <w:rPr>
          <w:rFonts w:ascii="Times New Roman" w:hAnsi="Times New Roman"/>
        </w:rPr>
        <w:t xml:space="preserve">, което препятства широкото използване на ИКТ и базираните на тях услуги и постигането на цифров растеж. България продължава да изостава от средните показатели за ЕС. Според Индекса за навлизането на цифровите технологии в икономиката и обществото </w:t>
      </w:r>
      <w:r w:rsidRPr="00DC4A4B">
        <w:rPr>
          <w:rFonts w:ascii="Times New Roman" w:hAnsi="Times New Roman"/>
          <w:i/>
          <w:lang w:val="en-US"/>
        </w:rPr>
        <w:t>DESI</w:t>
      </w:r>
      <w:r w:rsidRPr="00DC4A4B">
        <w:rPr>
          <w:rFonts w:ascii="Times New Roman" w:hAnsi="Times New Roman"/>
        </w:rPr>
        <w:t xml:space="preserve"> през 201</w:t>
      </w:r>
      <w:r>
        <w:rPr>
          <w:rFonts w:ascii="Times New Roman" w:hAnsi="Times New Roman"/>
        </w:rPr>
        <w:t>7</w:t>
      </w:r>
      <w:r w:rsidRPr="00DC4A4B">
        <w:rPr>
          <w:rFonts w:ascii="Times New Roman" w:hAnsi="Times New Roman"/>
        </w:rPr>
        <w:t xml:space="preserve"> г. едва 29% от населението притежават поне основни умения в областта на цифровите технологии (57% средно за ЕС), което отрежда на страната 27-мо място в ЕС. Едва 62% от населението на възраст 16-74 години използва интернет при 81% средно за ЕС. Необходими са интервенции на всички нива на образователната система, както и на системата на </w:t>
      </w:r>
      <w:r w:rsidRPr="000724F2">
        <w:rPr>
          <w:rFonts w:ascii="Times New Roman" w:hAnsi="Times New Roman"/>
        </w:rPr>
        <w:t>квалификация и преквалификация на заети, безработни, хора и групи в неравностойно положение</w:t>
      </w:r>
      <w:r w:rsidRPr="00DC4A4B">
        <w:rPr>
          <w:rFonts w:ascii="Times New Roman" w:hAnsi="Times New Roman"/>
        </w:rPr>
        <w:t xml:space="preserve"> за повишаване на цифровата грамотност на гражданите и избягване на т.нар. цифрово изключване.</w:t>
      </w:r>
      <w:r w:rsidRPr="00DC4A4B">
        <w:rPr>
          <w:rFonts w:ascii="Times New Roman" w:hAnsi="Times New Roman"/>
          <w:lang w:val="en-US"/>
        </w:rPr>
        <w:t xml:space="preserve"> </w:t>
      </w:r>
    </w:p>
    <w:p w:rsidR="00AE0F90" w:rsidRDefault="00AE0F90" w:rsidP="00AE0F90">
      <w:pPr>
        <w:spacing w:line="269" w:lineRule="auto"/>
        <w:jc w:val="both"/>
        <w:rPr>
          <w:rFonts w:ascii="Times New Roman" w:hAnsi="Times New Roman"/>
        </w:rPr>
      </w:pPr>
      <w:r w:rsidRPr="00DC4A4B">
        <w:rPr>
          <w:rFonts w:ascii="Times New Roman" w:hAnsi="Times New Roman"/>
        </w:rPr>
        <w:t xml:space="preserve">През последните години се правят опити за </w:t>
      </w:r>
      <w:r w:rsidRPr="00DC4A4B">
        <w:rPr>
          <w:rFonts w:ascii="Times New Roman" w:hAnsi="Times New Roman"/>
          <w:b/>
          <w:color w:val="365F91"/>
        </w:rPr>
        <w:t>навлизане на модерните технологии в учебния процес</w:t>
      </w:r>
      <w:r w:rsidRPr="00DC4A4B">
        <w:rPr>
          <w:rFonts w:ascii="Times New Roman" w:hAnsi="Times New Roman"/>
        </w:rPr>
        <w:t xml:space="preserve">, но опитът е противоречив. Така например, от учебната 2018-2019 г. на учениците от първи до седми клас са на разположение електронни учебници, но използването им в час би било нарушение на Закона за предучилищното и училищното образование (разпоредбата на чл. 172, ал. 1, т. 12 забранява на </w:t>
      </w:r>
      <w:r w:rsidRPr="00DC4A4B">
        <w:rPr>
          <w:rFonts w:ascii="Times New Roman" w:hAnsi="Times New Roman"/>
        </w:rPr>
        <w:lastRenderedPageBreak/>
        <w:t>учениците да използват мобилни устройства в час). Самите електронни учебници представляват сканирани копия на хартиените такива и са безплатни, но електронно четимите варианти на учебниците, които освен учебния материал имат включени интерактивни игри и упражнения остават платени, с всички произтичащи от това негативни последствия по отношение на равния достъп до качествено образование.</w:t>
      </w:r>
    </w:p>
    <w:p w:rsidR="00AE0F90" w:rsidRPr="0057092D" w:rsidRDefault="00AE0F90" w:rsidP="00AE0F90">
      <w:pPr>
        <w:pStyle w:val="Heading3"/>
        <w:numPr>
          <w:ilvl w:val="2"/>
          <w:numId w:val="16"/>
        </w:numPr>
        <w:rPr>
          <w:color w:val="1F497D"/>
        </w:rPr>
      </w:pPr>
      <w:bookmarkStart w:id="15" w:name="_Toc525196966"/>
      <w:bookmarkStart w:id="16" w:name="_Toc791807"/>
      <w:r w:rsidRPr="0057092D">
        <w:rPr>
          <w:color w:val="1F497D"/>
        </w:rPr>
        <w:t>Здравен статус и здравеопазване</w:t>
      </w:r>
      <w:bookmarkEnd w:id="15"/>
      <w:bookmarkEnd w:id="16"/>
    </w:p>
    <w:p w:rsidR="00AE0F90" w:rsidRDefault="00AE0F90" w:rsidP="00AE0F90">
      <w:pPr>
        <w:spacing w:line="269" w:lineRule="auto"/>
        <w:jc w:val="both"/>
        <w:rPr>
          <w:rFonts w:ascii="Times New Roman" w:hAnsi="Times New Roman"/>
          <w:i/>
        </w:rPr>
      </w:pPr>
      <w:r w:rsidRPr="00734645">
        <w:rPr>
          <w:rFonts w:ascii="Times New Roman" w:hAnsi="Times New Roman"/>
          <w:i/>
        </w:rPr>
        <w:t>През последните години продължителността на живота нараства устойчиво, макар и с регионални диспропорции и оставайки най-ниска в ЕС.</w:t>
      </w:r>
      <w:r w:rsidRPr="00734645">
        <w:t xml:space="preserve"> </w:t>
      </w:r>
      <w:r>
        <w:rPr>
          <w:rFonts w:ascii="Times New Roman" w:hAnsi="Times New Roman"/>
          <w:i/>
        </w:rPr>
        <w:t xml:space="preserve">Публичните разходи за здравеопазване остават ниски, а преките плащания на потребителите са най-високите в ЕС, със значителни импликации върху достъпа до здравни услуги. </w:t>
      </w:r>
      <w:r w:rsidRPr="00734645">
        <w:rPr>
          <w:rFonts w:ascii="Times New Roman" w:hAnsi="Times New Roman"/>
          <w:i/>
        </w:rPr>
        <w:t>Сериозни</w:t>
      </w:r>
      <w:r>
        <w:rPr>
          <w:rFonts w:ascii="Times New Roman" w:hAnsi="Times New Roman"/>
          <w:i/>
        </w:rPr>
        <w:t xml:space="preserve"> </w:t>
      </w:r>
      <w:r w:rsidRPr="00734645">
        <w:rPr>
          <w:rFonts w:ascii="Times New Roman" w:hAnsi="Times New Roman"/>
          <w:i/>
        </w:rPr>
        <w:t xml:space="preserve">рискови фактори </w:t>
      </w:r>
      <w:r>
        <w:rPr>
          <w:rFonts w:ascii="Times New Roman" w:hAnsi="Times New Roman"/>
          <w:i/>
        </w:rPr>
        <w:t>(</w:t>
      </w:r>
      <w:r w:rsidRPr="00734645">
        <w:rPr>
          <w:rFonts w:ascii="Times New Roman" w:hAnsi="Times New Roman"/>
          <w:i/>
        </w:rPr>
        <w:t>тютюнопушене, употреба на алкохол, затлъстяване, небалансирано хранене и ниска двигателна активност</w:t>
      </w:r>
      <w:r>
        <w:rPr>
          <w:rFonts w:ascii="Times New Roman" w:hAnsi="Times New Roman"/>
          <w:i/>
        </w:rPr>
        <w:t>)</w:t>
      </w:r>
      <w:r w:rsidRPr="00734645">
        <w:rPr>
          <w:rFonts w:ascii="Times New Roman" w:hAnsi="Times New Roman"/>
          <w:i/>
        </w:rPr>
        <w:t xml:space="preserve"> продължават да обхващат голяма част от населението и да застрашават здравето </w:t>
      </w:r>
      <w:r>
        <w:rPr>
          <w:rFonts w:ascii="Times New Roman" w:hAnsi="Times New Roman"/>
          <w:i/>
        </w:rPr>
        <w:t xml:space="preserve">му. </w:t>
      </w:r>
      <w:r w:rsidRPr="0041661F">
        <w:rPr>
          <w:rFonts w:ascii="Times New Roman" w:hAnsi="Times New Roman"/>
          <w:i/>
        </w:rPr>
        <w:t>Предизвикателство пред намаляването на преждевременната смъртност е повишаването на здравната култура</w:t>
      </w:r>
      <w:r>
        <w:rPr>
          <w:rFonts w:ascii="Times New Roman" w:hAnsi="Times New Roman"/>
          <w:i/>
        </w:rPr>
        <w:t xml:space="preserve">, особено </w:t>
      </w:r>
      <w:r w:rsidRPr="0041661F">
        <w:rPr>
          <w:rFonts w:ascii="Times New Roman" w:hAnsi="Times New Roman"/>
          <w:i/>
        </w:rPr>
        <w:t xml:space="preserve">сред малцинствените групи, които се характеризират </w:t>
      </w:r>
      <w:r>
        <w:rPr>
          <w:rFonts w:ascii="Times New Roman" w:hAnsi="Times New Roman"/>
          <w:i/>
        </w:rPr>
        <w:t xml:space="preserve">с </w:t>
      </w:r>
      <w:r w:rsidRPr="0041661F">
        <w:rPr>
          <w:rFonts w:ascii="Times New Roman" w:hAnsi="Times New Roman"/>
          <w:i/>
        </w:rPr>
        <w:t>ограничен достъп до здравни услуги</w:t>
      </w:r>
      <w:r>
        <w:rPr>
          <w:rFonts w:ascii="Times New Roman" w:hAnsi="Times New Roman"/>
          <w:i/>
        </w:rPr>
        <w:t>. Въпреки позитивни развития, детската и предотвратимата смъртност остават високи. Осигуреността на населението с медицински специалисти е относително добра, но с териториални диспропорции и с неблагоприятна перспектива, във връзка с емиграцията на квалифицирани специалисти и малък брой присъединяващи се към работната сила в системата на здравеопазването. Значителен потенциал за подобряване на ефективността на системата се крие в засилването на ролята на първичната помощ за сметка на болничното лечение, както и в интензифициране на процесите на навлизане на електронното управление в системата на здравеопазването.</w:t>
      </w:r>
    </w:p>
    <w:p w:rsidR="00AE0F90" w:rsidRPr="00B261B0" w:rsidRDefault="00AE0F90" w:rsidP="00AE0F90">
      <w:pPr>
        <w:pStyle w:val="ListParagraph"/>
        <w:keepNext/>
        <w:spacing w:after="0" w:line="269" w:lineRule="auto"/>
        <w:ind w:left="4536"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t xml:space="preserve">Графика </w:t>
      </w:r>
      <w:r w:rsidR="00227FC6">
        <w:rPr>
          <w:rFonts w:ascii="Times New Roman" w:hAnsi="Times New Roman" w:cs="Times New Roman"/>
          <w:b/>
          <w:sz w:val="18"/>
          <w:szCs w:val="18"/>
        </w:rPr>
        <w:t xml:space="preserve">3. </w:t>
      </w:r>
      <w:r>
        <w:rPr>
          <w:rFonts w:ascii="Times New Roman" w:hAnsi="Times New Roman" w:cs="Times New Roman"/>
          <w:b/>
          <w:sz w:val="18"/>
          <w:szCs w:val="18"/>
        </w:rPr>
        <w:t>П</w:t>
      </w:r>
      <w:r w:rsidRPr="00B261B0">
        <w:rPr>
          <w:rFonts w:ascii="Times New Roman" w:hAnsi="Times New Roman" w:cs="Times New Roman"/>
          <w:b/>
          <w:sz w:val="18"/>
          <w:szCs w:val="18"/>
        </w:rPr>
        <w:t>родължителност на живота</w:t>
      </w:r>
      <w:r w:rsidRPr="00DC4A4B">
        <w:rPr>
          <w:rFonts w:ascii="Times New Roman" w:hAnsi="Times New Roman" w:cs="Times New Roman"/>
          <w:b/>
          <w:sz w:val="18"/>
          <w:szCs w:val="18"/>
        </w:rPr>
        <w:t xml:space="preserve"> </w:t>
      </w:r>
      <w:r w:rsidRPr="00B261B0">
        <w:rPr>
          <w:rFonts w:ascii="Times New Roman" w:hAnsi="Times New Roman" w:cs="Times New Roman"/>
          <w:b/>
          <w:sz w:val="18"/>
          <w:szCs w:val="18"/>
        </w:rPr>
        <w:t>по райони 2007-2016</w:t>
      </w:r>
      <w:r w:rsidR="00227FC6">
        <w:rPr>
          <w:rFonts w:ascii="Times New Roman" w:hAnsi="Times New Roman" w:cs="Times New Roman"/>
          <w:b/>
          <w:sz w:val="18"/>
          <w:szCs w:val="18"/>
        </w:rPr>
        <w:t> </w:t>
      </w:r>
      <w:r w:rsidRPr="00B261B0">
        <w:rPr>
          <w:rFonts w:ascii="Times New Roman" w:hAnsi="Times New Roman" w:cs="Times New Roman"/>
          <w:b/>
          <w:sz w:val="18"/>
          <w:szCs w:val="18"/>
        </w:rPr>
        <w:t>г.</w:t>
      </w:r>
    </w:p>
    <w:p w:rsidR="00AE0F90" w:rsidRDefault="00AE0F90" w:rsidP="00AE0F90">
      <w:pPr>
        <w:spacing w:line="269" w:lineRule="auto"/>
        <w:jc w:val="both"/>
        <w:rPr>
          <w:rFonts w:ascii="Times New Roman" w:hAnsi="Times New Roman"/>
        </w:rPr>
      </w:pPr>
      <w:r>
        <w:rPr>
          <w:rFonts w:ascii="Times New Roman" w:hAnsi="Times New Roman"/>
          <w:noProof/>
          <w:lang w:eastAsia="bg-BG"/>
        </w:rPr>
        <w:drawing>
          <wp:anchor distT="0" distB="0" distL="114300" distR="114300" simplePos="0" relativeHeight="251661824" behindDoc="0" locked="0" layoutInCell="1" allowOverlap="1" wp14:anchorId="3256218A" wp14:editId="2D518A4B">
            <wp:simplePos x="0" y="0"/>
            <wp:positionH relativeFrom="column">
              <wp:posOffset>2961005</wp:posOffset>
            </wp:positionH>
            <wp:positionV relativeFrom="paragraph">
              <wp:posOffset>56515</wp:posOffset>
            </wp:positionV>
            <wp:extent cx="3141345" cy="1887855"/>
            <wp:effectExtent l="0" t="0" r="1905"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41345" cy="1887855"/>
                    </a:xfrm>
                    <a:prstGeom prst="rect">
                      <a:avLst/>
                    </a:prstGeom>
                    <a:noFill/>
                  </pic:spPr>
                </pic:pic>
              </a:graphicData>
            </a:graphic>
            <wp14:sizeRelH relativeFrom="page">
              <wp14:pctWidth>0</wp14:pctWidth>
            </wp14:sizeRelH>
            <wp14:sizeRelV relativeFrom="page">
              <wp14:pctHeight>0</wp14:pctHeight>
            </wp14:sizeRelV>
          </wp:anchor>
        </w:drawing>
      </w:r>
      <w:r w:rsidRPr="00C77AA4">
        <w:rPr>
          <w:rFonts w:ascii="Times New Roman" w:hAnsi="Times New Roman"/>
        </w:rPr>
        <w:t xml:space="preserve">През последните години средната </w:t>
      </w:r>
      <w:r w:rsidRPr="00FF4BD8">
        <w:rPr>
          <w:rFonts w:ascii="Times New Roman" w:hAnsi="Times New Roman"/>
          <w:b/>
          <w:color w:val="365F91"/>
        </w:rPr>
        <w:t>продължителност на живота</w:t>
      </w:r>
      <w:r w:rsidRPr="00C77AA4">
        <w:rPr>
          <w:rFonts w:ascii="Times New Roman" w:hAnsi="Times New Roman"/>
        </w:rPr>
        <w:t xml:space="preserve"> в България следва общата за ЕС тенденция на нарастване и достига 74.9 години през 2016 г., спрямо 73 години през 2007 г., но остава най-ниска в ЕС. В регионален план се запазва тенденцията </w:t>
      </w:r>
      <w:r>
        <w:rPr>
          <w:rFonts w:ascii="Times New Roman" w:hAnsi="Times New Roman"/>
        </w:rPr>
        <w:t xml:space="preserve">относително </w:t>
      </w:r>
      <w:r w:rsidRPr="00C77AA4">
        <w:rPr>
          <w:rFonts w:ascii="Times New Roman" w:hAnsi="Times New Roman"/>
        </w:rPr>
        <w:t>по</w:t>
      </w:r>
      <w:r>
        <w:rPr>
          <w:rFonts w:ascii="Times New Roman" w:hAnsi="Times New Roman"/>
        </w:rPr>
        <w:t>-</w:t>
      </w:r>
      <w:r w:rsidRPr="00C77AA4">
        <w:rPr>
          <w:rFonts w:ascii="Times New Roman" w:hAnsi="Times New Roman"/>
        </w:rPr>
        <w:t xml:space="preserve">развитите региони да се характеризират с по-висока средна продължителност на живота, като различията се задълбочават. В Югозападния район показателят достига 75.7 години, при повишаване с 1.9 години, спрямо 2007 г., докато в Северозападния </w:t>
      </w:r>
      <w:r>
        <w:rPr>
          <w:rFonts w:ascii="Times New Roman" w:hAnsi="Times New Roman"/>
        </w:rPr>
        <w:t xml:space="preserve">район </w:t>
      </w:r>
      <w:r w:rsidRPr="00C77AA4">
        <w:rPr>
          <w:rFonts w:ascii="Times New Roman" w:hAnsi="Times New Roman"/>
        </w:rPr>
        <w:t xml:space="preserve">постигнатото подобрение </w:t>
      </w:r>
      <w:r>
        <w:rPr>
          <w:rFonts w:ascii="Times New Roman" w:hAnsi="Times New Roman"/>
        </w:rPr>
        <w:t xml:space="preserve">през периода </w:t>
      </w:r>
      <w:r w:rsidRPr="00C77AA4">
        <w:rPr>
          <w:rFonts w:ascii="Times New Roman" w:hAnsi="Times New Roman"/>
        </w:rPr>
        <w:t xml:space="preserve">е само 1.2 години до 73.3 години. </w:t>
      </w:r>
      <w:r w:rsidRPr="0057092D">
        <w:rPr>
          <w:rFonts w:ascii="Times New Roman" w:hAnsi="Times New Roman"/>
        </w:rPr>
        <w:t xml:space="preserve">Същевременно, страната </w:t>
      </w:r>
      <w:r>
        <w:rPr>
          <w:rFonts w:ascii="Times New Roman" w:hAnsi="Times New Roman"/>
        </w:rPr>
        <w:t xml:space="preserve">остава </w:t>
      </w:r>
      <w:r w:rsidRPr="0057092D">
        <w:rPr>
          <w:rFonts w:ascii="Times New Roman" w:hAnsi="Times New Roman"/>
        </w:rPr>
        <w:t xml:space="preserve">с най-висока смъртност в рамките на ЕС, </w:t>
      </w:r>
      <w:r>
        <w:rPr>
          <w:rFonts w:ascii="Times New Roman" w:hAnsi="Times New Roman"/>
        </w:rPr>
        <w:t xml:space="preserve">при допълнително нарастване на показателя през последните десет години, </w:t>
      </w:r>
      <w:r w:rsidRPr="0057092D">
        <w:rPr>
          <w:rFonts w:ascii="Times New Roman" w:hAnsi="Times New Roman"/>
        </w:rPr>
        <w:t>като през 2017 г. коефициентът на смъртност достига 15.5‰</w:t>
      </w:r>
      <w:r>
        <w:rPr>
          <w:rFonts w:ascii="Times New Roman" w:hAnsi="Times New Roman"/>
        </w:rPr>
        <w:t xml:space="preserve"> (при </w:t>
      </w:r>
      <w:r w:rsidRPr="0057092D">
        <w:rPr>
          <w:rFonts w:ascii="Times New Roman" w:hAnsi="Times New Roman"/>
        </w:rPr>
        <w:t>9.8‰ средно за ЕС</w:t>
      </w:r>
      <w:r>
        <w:rPr>
          <w:rFonts w:ascii="Times New Roman" w:hAnsi="Times New Roman"/>
        </w:rPr>
        <w:t>)</w:t>
      </w:r>
      <w:r w:rsidRPr="0057092D">
        <w:rPr>
          <w:rFonts w:ascii="Times New Roman" w:hAnsi="Times New Roman"/>
        </w:rPr>
        <w:t xml:space="preserve">. </w:t>
      </w:r>
      <w:r>
        <w:rPr>
          <w:rFonts w:ascii="Times New Roman" w:hAnsi="Times New Roman"/>
        </w:rPr>
        <w:t>В регионален план, единствено Югозападният район регистрира подобряване (макар и минимално до 13.6</w:t>
      </w:r>
      <w:r w:rsidRPr="007A123D">
        <w:rPr>
          <w:rFonts w:ascii="Times New Roman" w:hAnsi="Times New Roman"/>
        </w:rPr>
        <w:t>‰</w:t>
      </w:r>
      <w:r>
        <w:rPr>
          <w:rFonts w:ascii="Times New Roman" w:hAnsi="Times New Roman"/>
        </w:rPr>
        <w:t>, спрямо 13.7</w:t>
      </w:r>
      <w:r w:rsidRPr="0057092D">
        <w:rPr>
          <w:rFonts w:ascii="Times New Roman" w:hAnsi="Times New Roman"/>
        </w:rPr>
        <w:t>‰</w:t>
      </w:r>
      <w:r>
        <w:rPr>
          <w:rFonts w:ascii="Times New Roman" w:hAnsi="Times New Roman"/>
        </w:rPr>
        <w:t xml:space="preserve"> през 2007 г.), докато в останалите райони смъртността нараства; запазва се тенденцията показателят</w:t>
      </w:r>
      <w:r w:rsidRPr="007A123D">
        <w:rPr>
          <w:rFonts w:ascii="Times New Roman" w:hAnsi="Times New Roman"/>
        </w:rPr>
        <w:t xml:space="preserve"> да бъде по-висок в селата</w:t>
      </w:r>
      <w:r>
        <w:rPr>
          <w:rFonts w:ascii="Times New Roman" w:hAnsi="Times New Roman"/>
        </w:rPr>
        <w:t xml:space="preserve"> (22</w:t>
      </w:r>
      <w:r w:rsidRPr="0057092D">
        <w:rPr>
          <w:rFonts w:ascii="Times New Roman" w:hAnsi="Times New Roman"/>
        </w:rPr>
        <w:t>‰</w:t>
      </w:r>
      <w:r>
        <w:rPr>
          <w:rFonts w:ascii="Times New Roman" w:hAnsi="Times New Roman"/>
        </w:rPr>
        <w:t>)</w:t>
      </w:r>
      <w:r w:rsidRPr="007A123D">
        <w:rPr>
          <w:rFonts w:ascii="Times New Roman" w:hAnsi="Times New Roman"/>
        </w:rPr>
        <w:t>, отколкото в градовете</w:t>
      </w:r>
      <w:r>
        <w:rPr>
          <w:rFonts w:ascii="Times New Roman" w:hAnsi="Times New Roman"/>
        </w:rPr>
        <w:t xml:space="preserve"> (13.2</w:t>
      </w:r>
      <w:r w:rsidRPr="0057092D">
        <w:rPr>
          <w:rFonts w:ascii="Times New Roman" w:hAnsi="Times New Roman"/>
        </w:rPr>
        <w:t>‰</w:t>
      </w:r>
      <w:r>
        <w:rPr>
          <w:rFonts w:ascii="Times New Roman" w:hAnsi="Times New Roman"/>
        </w:rPr>
        <w:t>).</w:t>
      </w:r>
    </w:p>
    <w:p w:rsidR="00AE0F90" w:rsidRDefault="00AE0F90" w:rsidP="00AE0F90">
      <w:pPr>
        <w:spacing w:line="269" w:lineRule="auto"/>
        <w:jc w:val="both"/>
        <w:rPr>
          <w:rFonts w:ascii="Times New Roman" w:hAnsi="Times New Roman"/>
        </w:rPr>
      </w:pPr>
      <w:r>
        <w:rPr>
          <w:rFonts w:ascii="Times New Roman" w:hAnsi="Times New Roman"/>
        </w:rPr>
        <w:t xml:space="preserve">Според доклад на Световната здравна организация от 2017 г., </w:t>
      </w:r>
      <w:r w:rsidRPr="00707BA1">
        <w:rPr>
          <w:rFonts w:ascii="Times New Roman" w:hAnsi="Times New Roman"/>
        </w:rPr>
        <w:t xml:space="preserve">сериозните </w:t>
      </w:r>
      <w:r w:rsidRPr="009952CB">
        <w:rPr>
          <w:rFonts w:ascii="Times New Roman" w:hAnsi="Times New Roman"/>
          <w:b/>
          <w:color w:val="365F91"/>
        </w:rPr>
        <w:t>рискови фактори</w:t>
      </w:r>
      <w:r w:rsidRPr="00707BA1">
        <w:rPr>
          <w:rFonts w:ascii="Times New Roman" w:hAnsi="Times New Roman"/>
        </w:rPr>
        <w:t xml:space="preserve"> за всякакви хронични и злокачествени болести като тютюнопушенето, </w:t>
      </w:r>
      <w:r>
        <w:rPr>
          <w:rFonts w:ascii="Times New Roman" w:hAnsi="Times New Roman"/>
        </w:rPr>
        <w:t xml:space="preserve">употребата на алкохол, </w:t>
      </w:r>
      <w:r w:rsidRPr="00707BA1">
        <w:rPr>
          <w:rFonts w:ascii="Times New Roman" w:hAnsi="Times New Roman"/>
        </w:rPr>
        <w:t xml:space="preserve">затлъстяването, </w:t>
      </w:r>
      <w:r>
        <w:rPr>
          <w:rFonts w:ascii="Times New Roman" w:hAnsi="Times New Roman"/>
        </w:rPr>
        <w:t>небалансираното</w:t>
      </w:r>
      <w:r w:rsidRPr="00707BA1">
        <w:rPr>
          <w:rFonts w:ascii="Times New Roman" w:hAnsi="Times New Roman"/>
        </w:rPr>
        <w:t xml:space="preserve"> хранене и </w:t>
      </w:r>
      <w:r>
        <w:rPr>
          <w:rFonts w:ascii="Times New Roman" w:hAnsi="Times New Roman"/>
        </w:rPr>
        <w:t>ниската двигателна активност</w:t>
      </w:r>
      <w:r w:rsidRPr="00707BA1">
        <w:rPr>
          <w:rFonts w:ascii="Times New Roman" w:hAnsi="Times New Roman"/>
        </w:rPr>
        <w:t xml:space="preserve"> продължават да обхващат голяма част от </w:t>
      </w:r>
      <w:r>
        <w:rPr>
          <w:rFonts w:ascii="Times New Roman" w:hAnsi="Times New Roman"/>
        </w:rPr>
        <w:t>населението</w:t>
      </w:r>
      <w:r w:rsidRPr="00707BA1">
        <w:rPr>
          <w:rFonts w:ascii="Times New Roman" w:hAnsi="Times New Roman"/>
        </w:rPr>
        <w:t xml:space="preserve"> и да застрашават здравето им.</w:t>
      </w:r>
      <w:r w:rsidRPr="00B034DA">
        <w:t xml:space="preserve"> </w:t>
      </w:r>
      <w:r>
        <w:rPr>
          <w:rFonts w:ascii="Times New Roman" w:hAnsi="Times New Roman"/>
        </w:rPr>
        <w:t xml:space="preserve">Нараства </w:t>
      </w:r>
      <w:r w:rsidRPr="00B034DA">
        <w:rPr>
          <w:rFonts w:ascii="Times New Roman" w:hAnsi="Times New Roman"/>
        </w:rPr>
        <w:t xml:space="preserve">заболеваемостта от онкологични болести, а тази от </w:t>
      </w:r>
      <w:r>
        <w:rPr>
          <w:rFonts w:ascii="Times New Roman" w:hAnsi="Times New Roman"/>
        </w:rPr>
        <w:t xml:space="preserve">болести </w:t>
      </w:r>
      <w:r w:rsidRPr="00B034DA">
        <w:rPr>
          <w:rFonts w:ascii="Times New Roman" w:hAnsi="Times New Roman"/>
        </w:rPr>
        <w:t xml:space="preserve">на органите на кръвообращението, макар и да намалява, </w:t>
      </w:r>
      <w:r>
        <w:rPr>
          <w:rFonts w:ascii="Times New Roman" w:hAnsi="Times New Roman"/>
        </w:rPr>
        <w:t xml:space="preserve">е все още значително по-висока </w:t>
      </w:r>
      <w:r w:rsidRPr="00B034DA">
        <w:rPr>
          <w:rFonts w:ascii="Times New Roman" w:hAnsi="Times New Roman"/>
        </w:rPr>
        <w:t xml:space="preserve">от стойността за </w:t>
      </w:r>
      <w:r>
        <w:rPr>
          <w:rFonts w:ascii="Times New Roman" w:hAnsi="Times New Roman"/>
        </w:rPr>
        <w:t>ЕС</w:t>
      </w:r>
      <w:r w:rsidRPr="00B034DA">
        <w:rPr>
          <w:rFonts w:ascii="Times New Roman" w:hAnsi="Times New Roman"/>
        </w:rPr>
        <w:t xml:space="preserve"> и е все още </w:t>
      </w:r>
      <w:r>
        <w:rPr>
          <w:rFonts w:ascii="Times New Roman" w:hAnsi="Times New Roman"/>
        </w:rPr>
        <w:t xml:space="preserve">най-често срещаната </w:t>
      </w:r>
      <w:r w:rsidRPr="00B034DA">
        <w:rPr>
          <w:rFonts w:ascii="Times New Roman" w:hAnsi="Times New Roman"/>
        </w:rPr>
        <w:t xml:space="preserve">причина за </w:t>
      </w:r>
      <w:r>
        <w:rPr>
          <w:rFonts w:ascii="Times New Roman" w:hAnsi="Times New Roman"/>
        </w:rPr>
        <w:t>преждевременна смърт в страната</w:t>
      </w:r>
      <w:r w:rsidRPr="00B034DA">
        <w:rPr>
          <w:rFonts w:ascii="Times New Roman" w:hAnsi="Times New Roman"/>
        </w:rPr>
        <w:t>.</w:t>
      </w:r>
    </w:p>
    <w:p w:rsidR="00AE0F90" w:rsidRDefault="00AE0F90" w:rsidP="00AE0F90">
      <w:pPr>
        <w:spacing w:line="269" w:lineRule="auto"/>
        <w:jc w:val="both"/>
        <w:rPr>
          <w:rFonts w:ascii="Times New Roman" w:hAnsi="Times New Roman"/>
        </w:rPr>
      </w:pPr>
      <w:r w:rsidRPr="005E0137">
        <w:rPr>
          <w:rFonts w:ascii="Times New Roman" w:hAnsi="Times New Roman"/>
        </w:rPr>
        <w:lastRenderedPageBreak/>
        <w:t>Разпространението на тютюнопушенето сред българското</w:t>
      </w:r>
      <w:r>
        <w:rPr>
          <w:rFonts w:ascii="Times New Roman" w:hAnsi="Times New Roman"/>
        </w:rPr>
        <w:t xml:space="preserve"> </w:t>
      </w:r>
      <w:r w:rsidRPr="005E0137">
        <w:rPr>
          <w:rFonts w:ascii="Times New Roman" w:hAnsi="Times New Roman"/>
        </w:rPr>
        <w:t xml:space="preserve">население е най-високо в ЕС и е с почти </w:t>
      </w:r>
      <w:r>
        <w:rPr>
          <w:rFonts w:ascii="Times New Roman" w:hAnsi="Times New Roman"/>
        </w:rPr>
        <w:t>7</w:t>
      </w:r>
      <w:r>
        <w:rPr>
          <w:rStyle w:val="FootnoteReference"/>
          <w:rFonts w:ascii="Times New Roman" w:hAnsi="Times New Roman"/>
        </w:rPr>
        <w:footnoteReference w:id="33"/>
      </w:r>
      <w:r w:rsidRPr="005E0137">
        <w:rPr>
          <w:rFonts w:ascii="Times New Roman" w:hAnsi="Times New Roman"/>
        </w:rPr>
        <w:t xml:space="preserve"> процентни пункта</w:t>
      </w:r>
      <w:r>
        <w:rPr>
          <w:rFonts w:ascii="Times New Roman" w:hAnsi="Times New Roman"/>
        </w:rPr>
        <w:t xml:space="preserve"> </w:t>
      </w:r>
      <w:r w:rsidRPr="005E0137">
        <w:rPr>
          <w:rFonts w:ascii="Times New Roman" w:hAnsi="Times New Roman"/>
        </w:rPr>
        <w:t xml:space="preserve">над средното за </w:t>
      </w:r>
      <w:r>
        <w:rPr>
          <w:rFonts w:ascii="Times New Roman" w:hAnsi="Times New Roman"/>
        </w:rPr>
        <w:t>общността</w:t>
      </w:r>
      <w:r w:rsidRPr="005E0137">
        <w:rPr>
          <w:rFonts w:ascii="Times New Roman" w:hAnsi="Times New Roman"/>
        </w:rPr>
        <w:t>. Не по-малко от 28% от възрастното население,</w:t>
      </w:r>
      <w:r>
        <w:rPr>
          <w:rFonts w:ascii="Times New Roman" w:hAnsi="Times New Roman"/>
        </w:rPr>
        <w:t xml:space="preserve"> </w:t>
      </w:r>
      <w:r w:rsidRPr="005E0137">
        <w:rPr>
          <w:rFonts w:ascii="Times New Roman" w:hAnsi="Times New Roman"/>
        </w:rPr>
        <w:t>пушат</w:t>
      </w:r>
      <w:r>
        <w:rPr>
          <w:rFonts w:ascii="Times New Roman" w:hAnsi="Times New Roman"/>
        </w:rPr>
        <w:t xml:space="preserve"> </w:t>
      </w:r>
      <w:r w:rsidRPr="005E0137">
        <w:rPr>
          <w:rFonts w:ascii="Times New Roman" w:hAnsi="Times New Roman"/>
        </w:rPr>
        <w:t>ежедневно.</w:t>
      </w:r>
      <w:r>
        <w:rPr>
          <w:rFonts w:ascii="Times New Roman" w:hAnsi="Times New Roman"/>
        </w:rPr>
        <w:t xml:space="preserve"> К</w:t>
      </w:r>
      <w:r w:rsidRPr="005E0137">
        <w:rPr>
          <w:rFonts w:ascii="Times New Roman" w:hAnsi="Times New Roman"/>
        </w:rPr>
        <w:t>онсумацията на</w:t>
      </w:r>
      <w:r>
        <w:rPr>
          <w:rFonts w:ascii="Times New Roman" w:hAnsi="Times New Roman"/>
        </w:rPr>
        <w:t xml:space="preserve"> </w:t>
      </w:r>
      <w:r w:rsidRPr="005E0137">
        <w:rPr>
          <w:rFonts w:ascii="Times New Roman" w:hAnsi="Times New Roman"/>
        </w:rPr>
        <w:t>алкохол на глава от населението</w:t>
      </w:r>
      <w:r>
        <w:rPr>
          <w:rFonts w:ascii="Times New Roman" w:hAnsi="Times New Roman"/>
        </w:rPr>
        <w:t xml:space="preserve"> поставя страната на</w:t>
      </w:r>
      <w:r w:rsidRPr="005E0137">
        <w:rPr>
          <w:rFonts w:ascii="Times New Roman" w:hAnsi="Times New Roman"/>
        </w:rPr>
        <w:t xml:space="preserve"> </w:t>
      </w:r>
      <w:r>
        <w:rPr>
          <w:rFonts w:ascii="Times New Roman" w:hAnsi="Times New Roman"/>
        </w:rPr>
        <w:t>5-то</w:t>
      </w:r>
      <w:r w:rsidRPr="005E0137">
        <w:rPr>
          <w:rFonts w:ascii="Times New Roman" w:hAnsi="Times New Roman"/>
        </w:rPr>
        <w:t xml:space="preserve"> място в ЕС</w:t>
      </w:r>
      <w:r>
        <w:rPr>
          <w:rFonts w:ascii="Times New Roman" w:hAnsi="Times New Roman"/>
        </w:rPr>
        <w:t xml:space="preserve">. </w:t>
      </w:r>
      <w:r w:rsidRPr="005E0137">
        <w:rPr>
          <w:rFonts w:ascii="Times New Roman" w:hAnsi="Times New Roman"/>
        </w:rPr>
        <w:t>Макар че равнищата на затлъстяване при възрастните са под</w:t>
      </w:r>
      <w:r>
        <w:rPr>
          <w:rFonts w:ascii="Times New Roman" w:hAnsi="Times New Roman"/>
        </w:rPr>
        <w:t xml:space="preserve"> </w:t>
      </w:r>
      <w:r w:rsidRPr="005E0137">
        <w:rPr>
          <w:rFonts w:ascii="Times New Roman" w:hAnsi="Times New Roman"/>
        </w:rPr>
        <w:t>средното за ЕС, те се повиш</w:t>
      </w:r>
      <w:r>
        <w:rPr>
          <w:rFonts w:ascii="Times New Roman" w:hAnsi="Times New Roman"/>
        </w:rPr>
        <w:t>ават</w:t>
      </w:r>
      <w:r w:rsidRPr="005E0137">
        <w:rPr>
          <w:rFonts w:ascii="Times New Roman" w:hAnsi="Times New Roman"/>
        </w:rPr>
        <w:t xml:space="preserve"> с </w:t>
      </w:r>
      <w:r>
        <w:rPr>
          <w:rFonts w:ascii="Times New Roman" w:hAnsi="Times New Roman"/>
        </w:rPr>
        <w:t xml:space="preserve">¼ </w:t>
      </w:r>
      <w:r w:rsidRPr="005E0137">
        <w:rPr>
          <w:rFonts w:ascii="Times New Roman" w:hAnsi="Times New Roman"/>
        </w:rPr>
        <w:t xml:space="preserve">от 2008 г. насам. </w:t>
      </w:r>
      <w:r w:rsidRPr="00801D0F">
        <w:rPr>
          <w:rFonts w:ascii="Times New Roman" w:hAnsi="Times New Roman"/>
        </w:rPr>
        <w:t xml:space="preserve">По данни на </w:t>
      </w:r>
      <w:proofErr w:type="spellStart"/>
      <w:r w:rsidRPr="00801D0F">
        <w:rPr>
          <w:rFonts w:ascii="Times New Roman" w:hAnsi="Times New Roman"/>
        </w:rPr>
        <w:t>Eurobarometer</w:t>
      </w:r>
      <w:proofErr w:type="spellEnd"/>
      <w:r w:rsidRPr="00801D0F">
        <w:rPr>
          <w:rStyle w:val="FootnoteReference"/>
          <w:rFonts w:ascii="Times New Roman" w:hAnsi="Times New Roman"/>
        </w:rPr>
        <w:footnoteReference w:id="34"/>
      </w:r>
      <w:r w:rsidRPr="00801D0F">
        <w:rPr>
          <w:rFonts w:ascii="Times New Roman" w:hAnsi="Times New Roman"/>
        </w:rPr>
        <w:t>, като ниво на физическата активност на населението, България се нарежда на последно място сред страните от ЕС, с едва 2% редовно практикуващи спорт и 68% никога не участващи в спортни дейности. Само 2% от българите са членове на спортни клубове, 5% в клубове за фитнес и здраве и 6% в други видове клубове. Ниската физическа активност е един от основните фактори на риска за възникване на хронични незаразни болести. Въпреки че през последните години се полагат усилия – включително и със средства по оперативните програми – за изграждане на спортна инфраструктура и специализирани площадки, повече от половината анкетирани заявяват, че по местоживеене не им се предоставят достатъчно възможности за спорт и физическа активност.</w:t>
      </w:r>
    </w:p>
    <w:p w:rsidR="00AE0F90" w:rsidRDefault="00AE0F90" w:rsidP="00AE0F90">
      <w:pPr>
        <w:spacing w:line="269" w:lineRule="auto"/>
        <w:jc w:val="both"/>
        <w:rPr>
          <w:rFonts w:ascii="Times New Roman" w:hAnsi="Times New Roman"/>
        </w:rPr>
      </w:pPr>
      <w:r w:rsidRPr="00D16AEA">
        <w:rPr>
          <w:rFonts w:ascii="Times New Roman" w:hAnsi="Times New Roman"/>
          <w:b/>
          <w:color w:val="365F91"/>
        </w:rPr>
        <w:t>Детската смъртност</w:t>
      </w:r>
      <w:r w:rsidRPr="00FF4BD8">
        <w:rPr>
          <w:rFonts w:ascii="Times New Roman" w:hAnsi="Times New Roman"/>
        </w:rPr>
        <w:t xml:space="preserve"> </w:t>
      </w:r>
      <w:r>
        <w:rPr>
          <w:rFonts w:ascii="Times New Roman" w:hAnsi="Times New Roman"/>
        </w:rPr>
        <w:t>остава</w:t>
      </w:r>
      <w:r w:rsidRPr="00FF4BD8">
        <w:rPr>
          <w:rFonts w:ascii="Times New Roman" w:hAnsi="Times New Roman"/>
        </w:rPr>
        <w:t xml:space="preserve"> висока (6.4‰ през 2017 г., спрямо 3.6‰ средно за ЕС), въпреки устойчивата тенденция на намаление през последните години</w:t>
      </w:r>
      <w:r>
        <w:rPr>
          <w:rFonts w:ascii="Times New Roman" w:hAnsi="Times New Roman"/>
        </w:rPr>
        <w:t>, като продължава да е особено висока в регионите с компактни етнически малцинства.</w:t>
      </w:r>
      <w:r w:rsidRPr="00B00C51">
        <w:rPr>
          <w:rFonts w:ascii="Times New Roman" w:hAnsi="Times New Roman"/>
        </w:rPr>
        <w:t xml:space="preserve"> Областите с най-висока детска смъртност са Добрич (12.9‰) и Сливен (12.6‰), </w:t>
      </w:r>
      <w:r>
        <w:rPr>
          <w:rFonts w:ascii="Times New Roman" w:hAnsi="Times New Roman"/>
        </w:rPr>
        <w:t xml:space="preserve">докато в </w:t>
      </w:r>
      <w:r w:rsidRPr="00B00C51">
        <w:rPr>
          <w:rFonts w:ascii="Times New Roman" w:hAnsi="Times New Roman"/>
        </w:rPr>
        <w:t xml:space="preserve">София </w:t>
      </w:r>
      <w:r>
        <w:rPr>
          <w:rFonts w:ascii="Times New Roman" w:hAnsi="Times New Roman"/>
        </w:rPr>
        <w:t xml:space="preserve">показателят възлиза на </w:t>
      </w:r>
      <w:r w:rsidRPr="00B00C51">
        <w:rPr>
          <w:rFonts w:ascii="Times New Roman" w:hAnsi="Times New Roman"/>
        </w:rPr>
        <w:t>2.7‰.</w:t>
      </w:r>
      <w:r>
        <w:rPr>
          <w:rFonts w:ascii="Times New Roman" w:hAnsi="Times New Roman"/>
        </w:rPr>
        <w:t xml:space="preserve"> Предизвикателство пред намаляването на преждевременната – и особено детската – смъртност е повишаването на здравната култура сред малцинствените групи, които се характеризират с по-неблагоприятна образователна структура, липса на здравни навици и </w:t>
      </w:r>
      <w:r w:rsidRPr="008A25F4">
        <w:rPr>
          <w:rFonts w:ascii="Times New Roman" w:hAnsi="Times New Roman"/>
        </w:rPr>
        <w:t>условия за добра хигиена</w:t>
      </w:r>
      <w:r>
        <w:rPr>
          <w:rFonts w:ascii="Times New Roman" w:hAnsi="Times New Roman"/>
        </w:rPr>
        <w:t xml:space="preserve">. Относително ниското им включване на пазара на труда обуславя ниски доходи, с което се свързва и ограничен достъп до </w:t>
      </w:r>
      <w:r w:rsidRPr="008A25F4">
        <w:rPr>
          <w:rFonts w:ascii="Times New Roman" w:hAnsi="Times New Roman"/>
        </w:rPr>
        <w:t>здравни услуги</w:t>
      </w:r>
      <w:r>
        <w:rPr>
          <w:rFonts w:ascii="Times New Roman" w:hAnsi="Times New Roman"/>
        </w:rPr>
        <w:t>.</w:t>
      </w:r>
    </w:p>
    <w:p w:rsidR="00AE0F90" w:rsidRPr="001C2445" w:rsidRDefault="00AE0F90" w:rsidP="00AE0F90">
      <w:pPr>
        <w:spacing w:line="269" w:lineRule="auto"/>
        <w:jc w:val="both"/>
        <w:rPr>
          <w:rFonts w:ascii="Times New Roman" w:hAnsi="Times New Roman"/>
        </w:rPr>
      </w:pPr>
      <w:r>
        <w:rPr>
          <w:rFonts w:ascii="Times New Roman" w:hAnsi="Times New Roman"/>
        </w:rPr>
        <w:t>По данни на ЕК</w:t>
      </w:r>
      <w:r w:rsidRPr="00A110E0">
        <w:rPr>
          <w:rFonts w:ascii="Times New Roman" w:hAnsi="Times New Roman"/>
          <w:vertAlign w:val="superscript"/>
        </w:rPr>
        <w:footnoteReference w:id="35"/>
      </w:r>
      <w:r>
        <w:rPr>
          <w:rFonts w:ascii="Times New Roman" w:hAnsi="Times New Roman"/>
        </w:rPr>
        <w:t xml:space="preserve">, </w:t>
      </w:r>
      <w:r w:rsidRPr="009952CB">
        <w:rPr>
          <w:rFonts w:ascii="Times New Roman" w:hAnsi="Times New Roman"/>
          <w:b/>
          <w:color w:val="365F91"/>
        </w:rPr>
        <w:t>разходите за здравеопазване</w:t>
      </w:r>
      <w:r>
        <w:rPr>
          <w:rFonts w:ascii="Times New Roman" w:hAnsi="Times New Roman"/>
        </w:rPr>
        <w:t xml:space="preserve"> в страната възлизат на 8.2% от БВП, изоставайки значително от средните за ЕС 9.9% от БВП, а съпоставени на глава от населението определят на страната 26-то място</w:t>
      </w:r>
      <w:r w:rsidRPr="001C2445">
        <w:rPr>
          <w:rFonts w:ascii="Times New Roman" w:hAnsi="Times New Roman"/>
        </w:rPr>
        <w:t xml:space="preserve"> в ЕС</w:t>
      </w:r>
      <w:r>
        <w:rPr>
          <w:rFonts w:ascii="Times New Roman" w:hAnsi="Times New Roman"/>
        </w:rPr>
        <w:t xml:space="preserve"> (пред Латвия и</w:t>
      </w:r>
      <w:r w:rsidRPr="00A110E0">
        <w:rPr>
          <w:rFonts w:ascii="Times New Roman" w:hAnsi="Times New Roman"/>
        </w:rPr>
        <w:t xml:space="preserve"> </w:t>
      </w:r>
      <w:r>
        <w:rPr>
          <w:rFonts w:ascii="Times New Roman" w:hAnsi="Times New Roman"/>
        </w:rPr>
        <w:t xml:space="preserve">Румъния). </w:t>
      </w:r>
      <w:r w:rsidRPr="00A110E0">
        <w:rPr>
          <w:rFonts w:ascii="Times New Roman" w:hAnsi="Times New Roman"/>
        </w:rPr>
        <w:t>Около половината (51%) идват от публични източници, което е вторият най-нисък дял в ЕС след Кипър. Преките плащания на потребителите представляват 48% от разходите за здравеопазване (в сравнение със средно 15% в ЕС), което има неблагоприятни последици за достъпа до здравни услуги. Най-голям дял от преките плащания на потребителите отива за лекарствените продукти, следвани от болничните услуги.</w:t>
      </w:r>
    </w:p>
    <w:p w:rsidR="00AE0F90" w:rsidRDefault="00AE0F90" w:rsidP="00AE0F90">
      <w:pPr>
        <w:spacing w:line="269" w:lineRule="auto"/>
        <w:jc w:val="both"/>
        <w:rPr>
          <w:rFonts w:ascii="Times New Roman" w:hAnsi="Times New Roman"/>
        </w:rPr>
      </w:pPr>
      <w:r w:rsidRPr="009952CB">
        <w:rPr>
          <w:rFonts w:ascii="Times New Roman" w:hAnsi="Times New Roman"/>
          <w:b/>
          <w:color w:val="365F91"/>
        </w:rPr>
        <w:t>Осигуреността на населението с лекари</w:t>
      </w:r>
      <w:r w:rsidRPr="00E20E9D">
        <w:rPr>
          <w:rFonts w:ascii="Times New Roman" w:hAnsi="Times New Roman"/>
        </w:rPr>
        <w:t xml:space="preserve"> проявява ярко изразена тенденция на нарастване през последните десет години и е по-висока от средната за ЕС,</w:t>
      </w:r>
      <w:r>
        <w:rPr>
          <w:rFonts w:ascii="Times New Roman" w:hAnsi="Times New Roman"/>
        </w:rPr>
        <w:t xml:space="preserve"> но</w:t>
      </w:r>
      <w:r w:rsidRPr="00E20E9D">
        <w:rPr>
          <w:rFonts w:ascii="Times New Roman" w:hAnsi="Times New Roman"/>
        </w:rPr>
        <w:t xml:space="preserve"> делът на общопрактикуващите лекари е двойно по-нисък от средния за ЕС (30.2%).</w:t>
      </w:r>
      <w:r>
        <w:rPr>
          <w:rFonts w:ascii="Times New Roman" w:hAnsi="Times New Roman"/>
        </w:rPr>
        <w:t xml:space="preserve"> Въпреки това, неудовлетворените потребности от медицинска помощ (4.7%) са по-големи от средните за ЕС, в резултат на затруднения в достъпа, </w:t>
      </w:r>
      <w:proofErr w:type="spellStart"/>
      <w:r>
        <w:rPr>
          <w:rFonts w:ascii="Times New Roman" w:hAnsi="Times New Roman"/>
        </w:rPr>
        <w:t>т.к</w:t>
      </w:r>
      <w:proofErr w:type="spellEnd"/>
      <w:r>
        <w:rPr>
          <w:rFonts w:ascii="Times New Roman" w:hAnsi="Times New Roman"/>
        </w:rPr>
        <w:t xml:space="preserve">. се наблюдава значителна концентрация на медицински специалисти в </w:t>
      </w:r>
      <w:r w:rsidRPr="00E20E9D">
        <w:rPr>
          <w:rFonts w:ascii="Times New Roman" w:hAnsi="Times New Roman"/>
        </w:rPr>
        <w:t xml:space="preserve">Югозападен район (29.8% от всички лекари), докато разпределението им по останалите райони </w:t>
      </w:r>
      <w:r w:rsidR="000637B7">
        <w:rPr>
          <w:rFonts w:ascii="Times New Roman" w:hAnsi="Times New Roman"/>
        </w:rPr>
        <w:t xml:space="preserve">от ниво 2 </w:t>
      </w:r>
      <w:r w:rsidRPr="00E20E9D">
        <w:rPr>
          <w:rFonts w:ascii="Times New Roman" w:hAnsi="Times New Roman"/>
        </w:rPr>
        <w:t>в страната се колебае между 9.4% (в Северен централен) и 19% (Южен централен).</w:t>
      </w:r>
      <w:r>
        <w:rPr>
          <w:rFonts w:ascii="Times New Roman" w:hAnsi="Times New Roman"/>
        </w:rPr>
        <w:t xml:space="preserve"> За разлика от относително високата осигуреност с лекари, в здравната система на страната е налице недостиг на медицински сестри. Тревожна е и тенденцията на намаляващ входящ поток от системата на образованието</w:t>
      </w:r>
      <w:r w:rsidRPr="001605AD">
        <w:t xml:space="preserve"> </w:t>
      </w:r>
      <w:r w:rsidRPr="001605AD">
        <w:rPr>
          <w:rFonts w:ascii="Times New Roman" w:hAnsi="Times New Roman"/>
        </w:rPr>
        <w:t>към работната сила в здравеопазването</w:t>
      </w:r>
      <w:r>
        <w:rPr>
          <w:rFonts w:ascii="Times New Roman" w:hAnsi="Times New Roman"/>
        </w:rPr>
        <w:t xml:space="preserve"> (в т.ч. лекари и медицински сестри), както и паралелно протичащия процес на емиграция на квалифицирани специалисти. В средносрочен и дългосрочен план, комбинацията от тези процеси ще компрометира възможността на системата на здравеопазването да предоставя качествени и своевременни здравни услуги на населението. </w:t>
      </w:r>
    </w:p>
    <w:p w:rsidR="00AE0F90" w:rsidRDefault="00AE0F90" w:rsidP="00AE0F90">
      <w:pPr>
        <w:spacing w:line="269" w:lineRule="auto"/>
        <w:jc w:val="both"/>
        <w:rPr>
          <w:rFonts w:ascii="Times New Roman" w:hAnsi="Times New Roman"/>
        </w:rPr>
      </w:pPr>
      <w:r w:rsidRPr="009952CB">
        <w:rPr>
          <w:rFonts w:ascii="Times New Roman" w:hAnsi="Times New Roman"/>
          <w:b/>
          <w:color w:val="365F91"/>
        </w:rPr>
        <w:t>Системата на първична помощ</w:t>
      </w:r>
      <w:r w:rsidRPr="001605AD">
        <w:rPr>
          <w:rFonts w:ascii="Times New Roman" w:hAnsi="Times New Roman"/>
        </w:rPr>
        <w:t xml:space="preserve"> в България е сравнително</w:t>
      </w:r>
      <w:r>
        <w:rPr>
          <w:rFonts w:ascii="Times New Roman" w:hAnsi="Times New Roman"/>
        </w:rPr>
        <w:t xml:space="preserve"> </w:t>
      </w:r>
      <w:r w:rsidRPr="001605AD">
        <w:rPr>
          <w:rFonts w:ascii="Times New Roman" w:hAnsi="Times New Roman"/>
        </w:rPr>
        <w:t>слаба</w:t>
      </w:r>
      <w:r>
        <w:rPr>
          <w:rFonts w:ascii="Times New Roman" w:hAnsi="Times New Roman"/>
        </w:rPr>
        <w:t xml:space="preserve">, като осъществените 5.9 </w:t>
      </w:r>
      <w:r w:rsidRPr="001605AD">
        <w:rPr>
          <w:rFonts w:ascii="Times New Roman" w:hAnsi="Times New Roman"/>
        </w:rPr>
        <w:t xml:space="preserve">посещения в </w:t>
      </w:r>
      <w:proofErr w:type="spellStart"/>
      <w:r w:rsidRPr="001605AD">
        <w:rPr>
          <w:rFonts w:ascii="Times New Roman" w:hAnsi="Times New Roman"/>
        </w:rPr>
        <w:t>извънболничната</w:t>
      </w:r>
      <w:proofErr w:type="spellEnd"/>
      <w:r>
        <w:rPr>
          <w:rFonts w:ascii="Times New Roman" w:hAnsi="Times New Roman"/>
        </w:rPr>
        <w:t xml:space="preserve"> </w:t>
      </w:r>
      <w:r w:rsidRPr="001605AD">
        <w:rPr>
          <w:rFonts w:ascii="Times New Roman" w:hAnsi="Times New Roman"/>
        </w:rPr>
        <w:t xml:space="preserve">помощ на глава от населението </w:t>
      </w:r>
      <w:r>
        <w:rPr>
          <w:rFonts w:ascii="Times New Roman" w:hAnsi="Times New Roman"/>
        </w:rPr>
        <w:t xml:space="preserve">през 2015 г. изостават от средните за ЕС </w:t>
      </w:r>
      <w:r w:rsidRPr="001605AD">
        <w:rPr>
          <w:rFonts w:ascii="Times New Roman" w:hAnsi="Times New Roman"/>
        </w:rPr>
        <w:t>7</w:t>
      </w:r>
      <w:r>
        <w:rPr>
          <w:rFonts w:ascii="Times New Roman" w:hAnsi="Times New Roman"/>
        </w:rPr>
        <w:t>.</w:t>
      </w:r>
      <w:r w:rsidRPr="001605AD">
        <w:rPr>
          <w:rFonts w:ascii="Times New Roman" w:hAnsi="Times New Roman"/>
        </w:rPr>
        <w:t>5</w:t>
      </w:r>
      <w:r>
        <w:rPr>
          <w:rFonts w:ascii="Times New Roman" w:hAnsi="Times New Roman"/>
        </w:rPr>
        <w:t xml:space="preserve"> посещения</w:t>
      </w:r>
      <w:r w:rsidRPr="001605AD">
        <w:rPr>
          <w:rFonts w:ascii="Times New Roman" w:hAnsi="Times New Roman"/>
        </w:rPr>
        <w:t>.</w:t>
      </w:r>
      <w:r>
        <w:rPr>
          <w:rFonts w:ascii="Times New Roman" w:hAnsi="Times New Roman"/>
        </w:rPr>
        <w:t xml:space="preserve"> Системата е ориентирана основно към </w:t>
      </w:r>
      <w:r w:rsidRPr="009952CB">
        <w:rPr>
          <w:rFonts w:ascii="Times New Roman" w:hAnsi="Times New Roman"/>
          <w:b/>
          <w:color w:val="365F91"/>
        </w:rPr>
        <w:t>болнично лечение</w:t>
      </w:r>
      <w:r>
        <w:rPr>
          <w:rFonts w:ascii="Times New Roman" w:hAnsi="Times New Roman"/>
        </w:rPr>
        <w:t xml:space="preserve"> – броят на хоспитализациите на 1 000 души население е най-високият в ЕС, като е почти двойно по-висок от средното ниво на показателя в общността. В допълнение, страната поддържа голям брой </w:t>
      </w:r>
      <w:r w:rsidRPr="002A0E4B">
        <w:rPr>
          <w:rFonts w:ascii="Times New Roman" w:hAnsi="Times New Roman"/>
        </w:rPr>
        <w:t>легла за активно</w:t>
      </w:r>
      <w:r>
        <w:rPr>
          <w:rFonts w:ascii="Times New Roman" w:hAnsi="Times New Roman"/>
        </w:rPr>
        <w:t xml:space="preserve"> </w:t>
      </w:r>
      <w:r w:rsidRPr="002A0E4B">
        <w:rPr>
          <w:rFonts w:ascii="Times New Roman" w:hAnsi="Times New Roman"/>
        </w:rPr>
        <w:t>лечение</w:t>
      </w:r>
      <w:r>
        <w:rPr>
          <w:rFonts w:ascii="Times New Roman" w:hAnsi="Times New Roman"/>
        </w:rPr>
        <w:t xml:space="preserve"> – 6.0 </w:t>
      </w:r>
      <w:r>
        <w:rPr>
          <w:rFonts w:ascii="Times New Roman" w:hAnsi="Times New Roman"/>
        </w:rPr>
        <w:lastRenderedPageBreak/>
        <w:t>легла на 1 000 души население, в сравнение с 4.2 легла средно за ЕС.</w:t>
      </w:r>
      <w:r w:rsidRPr="007C3D81">
        <w:rPr>
          <w:rFonts w:ascii="Times New Roman" w:hAnsi="Times New Roman"/>
        </w:rPr>
        <w:t xml:space="preserve"> Секторът</w:t>
      </w:r>
      <w:r>
        <w:rPr>
          <w:rFonts w:ascii="Times New Roman" w:hAnsi="Times New Roman"/>
        </w:rPr>
        <w:t xml:space="preserve"> </w:t>
      </w:r>
      <w:r w:rsidRPr="007C3D81">
        <w:rPr>
          <w:rFonts w:ascii="Times New Roman" w:hAnsi="Times New Roman"/>
        </w:rPr>
        <w:t>на болничната помощ е сравнително голям като дял от общите</w:t>
      </w:r>
      <w:r>
        <w:rPr>
          <w:rFonts w:ascii="Times New Roman" w:hAnsi="Times New Roman"/>
        </w:rPr>
        <w:t xml:space="preserve"> </w:t>
      </w:r>
      <w:r w:rsidRPr="007C3D81">
        <w:rPr>
          <w:rFonts w:ascii="Times New Roman" w:hAnsi="Times New Roman"/>
        </w:rPr>
        <w:t xml:space="preserve">разходи за здравеопазване (34% </w:t>
      </w:r>
      <w:r>
        <w:rPr>
          <w:rFonts w:ascii="Times New Roman" w:hAnsi="Times New Roman"/>
        </w:rPr>
        <w:t xml:space="preserve">в страната, </w:t>
      </w:r>
      <w:r w:rsidRPr="007C3D81">
        <w:rPr>
          <w:rFonts w:ascii="Times New Roman" w:hAnsi="Times New Roman"/>
        </w:rPr>
        <w:t>спрямо 29% в ЕС), докато делът на</w:t>
      </w:r>
      <w:r>
        <w:rPr>
          <w:rFonts w:ascii="Times New Roman" w:hAnsi="Times New Roman"/>
        </w:rPr>
        <w:t xml:space="preserve"> </w:t>
      </w:r>
      <w:r w:rsidRPr="007C3D81">
        <w:rPr>
          <w:rFonts w:ascii="Times New Roman" w:hAnsi="Times New Roman"/>
        </w:rPr>
        <w:t xml:space="preserve">разходите за </w:t>
      </w:r>
      <w:proofErr w:type="spellStart"/>
      <w:r w:rsidRPr="007C3D81">
        <w:rPr>
          <w:rFonts w:ascii="Times New Roman" w:hAnsi="Times New Roman"/>
        </w:rPr>
        <w:t>извънболнична</w:t>
      </w:r>
      <w:proofErr w:type="spellEnd"/>
      <w:r w:rsidRPr="007C3D81">
        <w:rPr>
          <w:rFonts w:ascii="Times New Roman" w:hAnsi="Times New Roman"/>
        </w:rPr>
        <w:t xml:space="preserve"> помощ (18%) е най-</w:t>
      </w:r>
      <w:r>
        <w:rPr>
          <w:rFonts w:ascii="Times New Roman" w:hAnsi="Times New Roman"/>
        </w:rPr>
        <w:t>ниският</w:t>
      </w:r>
      <w:r w:rsidRPr="007C3D81">
        <w:rPr>
          <w:rFonts w:ascii="Times New Roman" w:hAnsi="Times New Roman"/>
        </w:rPr>
        <w:t xml:space="preserve"> в ЕС.</w:t>
      </w:r>
    </w:p>
    <w:p w:rsidR="00AE0F90" w:rsidRDefault="00AE0F90" w:rsidP="00AE0F90">
      <w:pPr>
        <w:spacing w:line="269" w:lineRule="auto"/>
        <w:jc w:val="both"/>
        <w:rPr>
          <w:rFonts w:ascii="Times New Roman" w:hAnsi="Times New Roman"/>
        </w:rPr>
      </w:pPr>
      <w:r>
        <w:rPr>
          <w:rFonts w:ascii="Times New Roman" w:hAnsi="Times New Roman"/>
        </w:rPr>
        <w:t>Въпреки че се наблюдава подобрение в последните години, предотвратимата</w:t>
      </w:r>
      <w:r>
        <w:rPr>
          <w:rStyle w:val="FootnoteReference"/>
          <w:rFonts w:ascii="Times New Roman" w:hAnsi="Times New Roman"/>
        </w:rPr>
        <w:footnoteReference w:id="36"/>
      </w:r>
      <w:r>
        <w:rPr>
          <w:rFonts w:ascii="Times New Roman" w:hAnsi="Times New Roman"/>
        </w:rPr>
        <w:t xml:space="preserve"> смъртност</w:t>
      </w:r>
      <w:r w:rsidRPr="006F0BA5">
        <w:rPr>
          <w:rFonts w:ascii="Times New Roman" w:hAnsi="Times New Roman"/>
        </w:rPr>
        <w:t xml:space="preserve"> </w:t>
      </w:r>
      <w:r>
        <w:rPr>
          <w:rFonts w:ascii="Times New Roman" w:hAnsi="Times New Roman"/>
        </w:rPr>
        <w:t>остава около два пъти по-висока</w:t>
      </w:r>
      <w:r>
        <w:rPr>
          <w:rStyle w:val="FootnoteReference"/>
          <w:rFonts w:ascii="Times New Roman" w:hAnsi="Times New Roman"/>
        </w:rPr>
        <w:footnoteReference w:id="37"/>
      </w:r>
      <w:r>
        <w:rPr>
          <w:rFonts w:ascii="Times New Roman" w:hAnsi="Times New Roman"/>
        </w:rPr>
        <w:t xml:space="preserve"> от средната за ЕС. Усилията за засилване на здравната промоция и превенция (</w:t>
      </w:r>
      <w:r w:rsidRPr="00226E3D">
        <w:rPr>
          <w:rFonts w:ascii="Times New Roman" w:hAnsi="Times New Roman"/>
        </w:rPr>
        <w:t>основ</w:t>
      </w:r>
      <w:r>
        <w:rPr>
          <w:rFonts w:ascii="Times New Roman" w:hAnsi="Times New Roman"/>
        </w:rPr>
        <w:t>е</w:t>
      </w:r>
      <w:r w:rsidRPr="00226E3D">
        <w:rPr>
          <w:rFonts w:ascii="Times New Roman" w:hAnsi="Times New Roman"/>
        </w:rPr>
        <w:t>н фокус на Националната здравна стратегия 2014-2020 г.</w:t>
      </w:r>
      <w:r>
        <w:rPr>
          <w:rFonts w:ascii="Times New Roman" w:hAnsi="Times New Roman"/>
        </w:rPr>
        <w:t>) все още предстои да покажат резултати.</w:t>
      </w:r>
    </w:p>
    <w:p w:rsidR="00AE0F90" w:rsidRDefault="00AE0F90" w:rsidP="00AE0F90">
      <w:pPr>
        <w:spacing w:line="269" w:lineRule="auto"/>
        <w:jc w:val="both"/>
        <w:rPr>
          <w:rFonts w:ascii="Times New Roman" w:hAnsi="Times New Roman"/>
        </w:rPr>
      </w:pPr>
      <w:r w:rsidRPr="007131B0">
        <w:rPr>
          <w:rFonts w:ascii="Times New Roman" w:hAnsi="Times New Roman"/>
        </w:rPr>
        <w:t xml:space="preserve">Страната изостава по отношение на </w:t>
      </w:r>
      <w:r w:rsidRPr="007131B0">
        <w:rPr>
          <w:rFonts w:ascii="Times New Roman" w:hAnsi="Times New Roman"/>
          <w:b/>
          <w:color w:val="365F91"/>
        </w:rPr>
        <w:t>електронното здравеопазване</w:t>
      </w:r>
      <w:r w:rsidRPr="007131B0">
        <w:rPr>
          <w:rFonts w:ascii="Times New Roman" w:hAnsi="Times New Roman"/>
        </w:rPr>
        <w:t xml:space="preserve">. Съответният показател в </w:t>
      </w:r>
      <w:r w:rsidRPr="007131B0">
        <w:rPr>
          <w:rFonts w:ascii="Times New Roman" w:hAnsi="Times New Roman"/>
          <w:i/>
          <w:lang w:val="en-US"/>
        </w:rPr>
        <w:t xml:space="preserve">DESI </w:t>
      </w:r>
      <w:r w:rsidRPr="007131B0">
        <w:rPr>
          <w:rFonts w:ascii="Times New Roman" w:hAnsi="Times New Roman"/>
          <w:i/>
        </w:rPr>
        <w:t>2018</w:t>
      </w:r>
      <w:r w:rsidRPr="007131B0">
        <w:rPr>
          <w:rFonts w:ascii="Times New Roman" w:hAnsi="Times New Roman"/>
        </w:rPr>
        <w:t xml:space="preserve"> поставя България на 23-то място в ЕС. Ключова стъпка за подобряването на позицията на страната ще бъде планираното</w:t>
      </w:r>
      <w:r w:rsidRPr="007131B0">
        <w:rPr>
          <w:rStyle w:val="FootnoteReference"/>
          <w:rFonts w:ascii="Times New Roman" w:hAnsi="Times New Roman"/>
        </w:rPr>
        <w:footnoteReference w:id="38"/>
      </w:r>
      <w:r w:rsidRPr="007131B0">
        <w:rPr>
          <w:rFonts w:ascii="Times New Roman" w:hAnsi="Times New Roman"/>
        </w:rPr>
        <w:t xml:space="preserve"> изграждане на Национална здравна информационна система, в която ще бъдат интегрирани 95 здравно-информационни стандарта, 35 типови информационни системи и 74 електронни административни услуги </w:t>
      </w:r>
      <w:r>
        <w:rPr>
          <w:rFonts w:ascii="Times New Roman" w:hAnsi="Times New Roman"/>
        </w:rPr>
        <w:t>и ще бъдат въведени електронни здравни досиета.</w:t>
      </w:r>
    </w:p>
    <w:p w:rsidR="00AE0F90" w:rsidRPr="00996CC9" w:rsidRDefault="00AE0F90" w:rsidP="00AE0F90">
      <w:pPr>
        <w:pStyle w:val="Heading3"/>
        <w:numPr>
          <w:ilvl w:val="2"/>
          <w:numId w:val="16"/>
        </w:numPr>
        <w:rPr>
          <w:color w:val="1F497D"/>
        </w:rPr>
      </w:pPr>
      <w:bookmarkStart w:id="17" w:name="_Toc525196967"/>
      <w:bookmarkStart w:id="18" w:name="_Toc791808"/>
      <w:r w:rsidRPr="00996CC9">
        <w:rPr>
          <w:color w:val="1F497D"/>
        </w:rPr>
        <w:t>Заетост и пазар на труда</w:t>
      </w:r>
      <w:bookmarkEnd w:id="17"/>
      <w:bookmarkEnd w:id="18"/>
    </w:p>
    <w:p w:rsidR="00AE0F90" w:rsidRPr="00DC4A4B" w:rsidRDefault="00AE0F90" w:rsidP="00AE0F90">
      <w:pPr>
        <w:pStyle w:val="ListParagraph"/>
        <w:spacing w:line="269" w:lineRule="auto"/>
        <w:ind w:left="0" w:firstLine="0"/>
        <w:contextualSpacing w:val="0"/>
        <w:jc w:val="both"/>
        <w:rPr>
          <w:rFonts w:ascii="Times New Roman" w:hAnsi="Times New Roman" w:cs="Times New Roman"/>
          <w:i/>
        </w:rPr>
      </w:pPr>
      <w:r w:rsidRPr="00DC4A4B">
        <w:rPr>
          <w:rFonts w:ascii="Times New Roman" w:hAnsi="Times New Roman" w:cs="Times New Roman"/>
          <w:i/>
        </w:rPr>
        <w:t>С постепенното отшумяване на ефектите от кризата, условията на пазара на труда се подобряват, но продължават да са налице предизвикателства. Равнището на безработица намалява постоянно след достигнатия пик в годините на криза и отново достига нива, по-ниски от средните за ЕС. Равнището на заетост обаче остава далеч както от националната цел за 2020 г., така и от средното ниво в ЕС. Неблагоприятни демографски тенденции и някои структурни проблеми остават основни пречки пред нормалното функциониране на пазара на труда. Населението продължава да намалява – както заради отрицателния естествен прираст, така и поради отрицателната нетна миграция – и застарява. Делът на дълготрайно безработните остава висок, а коефициентът на икономическа активност – въпреки отбелязано подобрение – изостава от средните за ЕС нива. Все още значителен процент млади хора не участват в никаква форма на заетост, образование или обучение. Нараства недостигът на труд, отправяйки допълнително предизвикателство пред активните мерки на пазара на труда. Производителността на труда продължава да нараства, но остава далеч от средната за ЕС.</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DC4A4B">
        <w:rPr>
          <w:rFonts w:ascii="Times New Roman" w:hAnsi="Times New Roman" w:cs="Times New Roman"/>
        </w:rPr>
        <w:t>Населението в трудоспособна възраст намалява ежегодно с относително постоянен темп от 1.4% средногодишно през последните седем години. До голяма степен тази негативна динамика е повлияна от същественото понижаване на коефициента на демографско заместване</w:t>
      </w:r>
      <w:r w:rsidRPr="00DC4A4B">
        <w:rPr>
          <w:rStyle w:val="FootnoteReference"/>
          <w:rFonts w:ascii="Times New Roman" w:hAnsi="Times New Roman"/>
        </w:rPr>
        <w:footnoteReference w:id="39"/>
      </w:r>
      <w:r w:rsidRPr="00DC4A4B">
        <w:rPr>
          <w:rFonts w:ascii="Times New Roman" w:hAnsi="Times New Roman" w:cs="Times New Roman"/>
        </w:rPr>
        <w:t>, но интензивният емиграционен процес на лица в трудоспособна възраст също допринася за формираната тенденция. Коефициентът на демографско заместване формира тенденция на постоянно намаление още преди началото на века, но през 2007 г. достига критичната точка, след която влизащите в трудоспособна възраст стават по-малко от излизащите. През 2017 г. показателят регистрира стойност от едва 64/100. В регионален план, най-неблагоприятна е картината в Северен централен район (57/100), докато Североизточен и Югоизточен райони са в относително по-благоприятна позиция (по 68/100). Над 3/4 от населението в трудоспособна възраст (48.9% от общото население) живее в градовете. Застаряването на работната сила в условия на динамичен пазар на труда с постоянно променящи се изисквания към квалификацията и професионалните умения на заетите, е процес, който поражда необходимостта от непрекъснато повишаване на общия потенциал на работната сила, от една страна чрез учене през целия живот и, от друга, чрез активно стареене на лицата, които продължават да се трудят и в напреднала възраст.</w:t>
      </w:r>
    </w:p>
    <w:p w:rsidR="00AE0F90" w:rsidRPr="00DC4A4B" w:rsidRDefault="00AE0F90" w:rsidP="00AE0F90">
      <w:pPr>
        <w:keepNext/>
        <w:spacing w:before="120" w:after="120"/>
        <w:rPr>
          <w:rFonts w:ascii="Times New Roman" w:hAnsi="Times New Roman"/>
          <w:b/>
          <w:bCs/>
          <w:sz w:val="18"/>
          <w:szCs w:val="18"/>
        </w:rPr>
      </w:pPr>
      <w:r w:rsidRPr="00DC4A4B">
        <w:rPr>
          <w:rFonts w:ascii="Times New Roman" w:hAnsi="Times New Roman"/>
          <w:b/>
          <w:bCs/>
          <w:sz w:val="18"/>
          <w:szCs w:val="18"/>
        </w:rPr>
        <w:lastRenderedPageBreak/>
        <w:t xml:space="preserve">Таблица </w:t>
      </w:r>
      <w:r w:rsidR="00227FC6">
        <w:rPr>
          <w:rFonts w:ascii="Times New Roman" w:hAnsi="Times New Roman"/>
          <w:b/>
          <w:bCs/>
          <w:sz w:val="18"/>
          <w:szCs w:val="18"/>
        </w:rPr>
        <w:t xml:space="preserve">3. </w:t>
      </w:r>
      <w:r w:rsidRPr="00DC4A4B">
        <w:rPr>
          <w:rFonts w:ascii="Times New Roman" w:hAnsi="Times New Roman"/>
          <w:b/>
          <w:bCs/>
          <w:sz w:val="18"/>
          <w:szCs w:val="18"/>
        </w:rPr>
        <w:t>Основни показатели за пазара на труда в България, 2008-2017 г.</w:t>
      </w:r>
    </w:p>
    <w:tbl>
      <w:tblPr>
        <w:tblW w:w="4893" w:type="pct"/>
        <w:tblInd w:w="108" w:type="dxa"/>
        <w:tblBorders>
          <w:top w:val="double" w:sz="4" w:space="0" w:color="9EC3DE"/>
          <w:left w:val="double" w:sz="4" w:space="0" w:color="9EC3DE"/>
          <w:bottom w:val="double" w:sz="4" w:space="0" w:color="9EC3DE"/>
          <w:right w:val="double" w:sz="4" w:space="0" w:color="9EC3DE"/>
          <w:insideH w:val="double" w:sz="4" w:space="0" w:color="9EC3DE"/>
          <w:insideV w:val="double" w:sz="4" w:space="0" w:color="9EC3DE"/>
        </w:tblBorders>
        <w:tblLayout w:type="fixed"/>
        <w:tblLook w:val="04A0" w:firstRow="1" w:lastRow="0" w:firstColumn="1" w:lastColumn="0" w:noHBand="0" w:noVBand="1"/>
      </w:tblPr>
      <w:tblGrid>
        <w:gridCol w:w="4561"/>
        <w:gridCol w:w="827"/>
        <w:gridCol w:w="1106"/>
        <w:gridCol w:w="970"/>
        <w:gridCol w:w="968"/>
        <w:gridCol w:w="970"/>
      </w:tblGrid>
      <w:tr w:rsidR="00AE0F90" w:rsidRPr="00DC4A4B" w:rsidTr="00197DD9">
        <w:trPr>
          <w:trHeight w:hRule="exact" w:val="454"/>
        </w:trPr>
        <w:tc>
          <w:tcPr>
            <w:tcW w:w="2425" w:type="pct"/>
            <w:shd w:val="clear" w:color="auto" w:fill="9EC3DE"/>
            <w:noWrap/>
            <w:vAlign w:val="bottom"/>
          </w:tcPr>
          <w:p w:rsidR="00AE0F90" w:rsidRPr="00DC4A4B" w:rsidRDefault="00AE0F90" w:rsidP="00197DD9">
            <w:pPr>
              <w:jc w:val="center"/>
              <w:rPr>
                <w:rFonts w:ascii="Times New Roman" w:hAnsi="Times New Roman"/>
                <w:b/>
                <w:sz w:val="18"/>
                <w:szCs w:val="18"/>
              </w:rPr>
            </w:pPr>
            <w:r w:rsidRPr="00DC4A4B">
              <w:rPr>
                <w:rFonts w:ascii="Times New Roman" w:hAnsi="Times New Roman"/>
                <w:b/>
                <w:sz w:val="18"/>
                <w:szCs w:val="18"/>
              </w:rPr>
              <w:t>Показател</w:t>
            </w:r>
          </w:p>
        </w:tc>
        <w:tc>
          <w:tcPr>
            <w:tcW w:w="440" w:type="pct"/>
            <w:shd w:val="clear" w:color="auto" w:fill="9EC3DE"/>
            <w:noWrap/>
            <w:vAlign w:val="bottom"/>
          </w:tcPr>
          <w:p w:rsidR="00AE0F90" w:rsidRPr="00DC4A4B" w:rsidRDefault="00AE0F90" w:rsidP="00197DD9">
            <w:pPr>
              <w:jc w:val="center"/>
              <w:rPr>
                <w:rFonts w:ascii="Times New Roman" w:hAnsi="Times New Roman"/>
                <w:b/>
                <w:sz w:val="18"/>
                <w:szCs w:val="18"/>
              </w:rPr>
            </w:pPr>
            <w:r w:rsidRPr="00DC4A4B">
              <w:rPr>
                <w:rFonts w:ascii="Times New Roman" w:hAnsi="Times New Roman"/>
                <w:b/>
                <w:sz w:val="18"/>
                <w:szCs w:val="18"/>
              </w:rPr>
              <w:t>м. ед.</w:t>
            </w:r>
          </w:p>
        </w:tc>
        <w:tc>
          <w:tcPr>
            <w:tcW w:w="588" w:type="pct"/>
            <w:shd w:val="clear" w:color="auto" w:fill="9EC3DE"/>
            <w:noWrap/>
            <w:vAlign w:val="bottom"/>
          </w:tcPr>
          <w:p w:rsidR="00AE0F90" w:rsidRPr="00DC4A4B" w:rsidRDefault="00AE0F90" w:rsidP="00197DD9">
            <w:pPr>
              <w:jc w:val="center"/>
              <w:rPr>
                <w:rFonts w:ascii="Times New Roman" w:hAnsi="Times New Roman"/>
                <w:b/>
                <w:sz w:val="18"/>
                <w:szCs w:val="18"/>
              </w:rPr>
            </w:pPr>
            <w:r w:rsidRPr="00DC4A4B">
              <w:rPr>
                <w:rFonts w:ascii="Times New Roman" w:hAnsi="Times New Roman"/>
                <w:b/>
                <w:sz w:val="18"/>
                <w:szCs w:val="18"/>
              </w:rPr>
              <w:t>2008</w:t>
            </w:r>
          </w:p>
        </w:tc>
        <w:tc>
          <w:tcPr>
            <w:tcW w:w="516" w:type="pct"/>
            <w:shd w:val="clear" w:color="auto" w:fill="9EC3DE"/>
            <w:noWrap/>
            <w:vAlign w:val="bottom"/>
          </w:tcPr>
          <w:p w:rsidR="00AE0F90" w:rsidRPr="00DC4A4B" w:rsidRDefault="00AE0F90" w:rsidP="00197DD9">
            <w:pPr>
              <w:jc w:val="center"/>
              <w:rPr>
                <w:rFonts w:ascii="Times New Roman" w:hAnsi="Times New Roman"/>
                <w:b/>
                <w:bCs/>
                <w:sz w:val="18"/>
                <w:szCs w:val="18"/>
              </w:rPr>
            </w:pPr>
            <w:r w:rsidRPr="00DC4A4B">
              <w:rPr>
                <w:rFonts w:ascii="Times New Roman" w:hAnsi="Times New Roman"/>
                <w:b/>
                <w:bCs/>
                <w:sz w:val="18"/>
                <w:szCs w:val="18"/>
              </w:rPr>
              <w:t>2011</w:t>
            </w:r>
          </w:p>
        </w:tc>
        <w:tc>
          <w:tcPr>
            <w:tcW w:w="515" w:type="pct"/>
            <w:shd w:val="clear" w:color="auto" w:fill="9EC3DE"/>
            <w:noWrap/>
            <w:vAlign w:val="bottom"/>
          </w:tcPr>
          <w:p w:rsidR="00AE0F90" w:rsidRPr="00DC4A4B" w:rsidRDefault="00AE0F90" w:rsidP="00197DD9">
            <w:pPr>
              <w:jc w:val="center"/>
              <w:rPr>
                <w:rFonts w:ascii="Times New Roman" w:hAnsi="Times New Roman"/>
                <w:b/>
                <w:sz w:val="18"/>
                <w:szCs w:val="18"/>
              </w:rPr>
            </w:pPr>
            <w:r w:rsidRPr="00DC4A4B">
              <w:rPr>
                <w:rFonts w:ascii="Times New Roman" w:hAnsi="Times New Roman"/>
                <w:b/>
                <w:sz w:val="18"/>
                <w:szCs w:val="18"/>
              </w:rPr>
              <w:t>2014</w:t>
            </w:r>
          </w:p>
        </w:tc>
        <w:tc>
          <w:tcPr>
            <w:tcW w:w="516" w:type="pct"/>
            <w:shd w:val="clear" w:color="auto" w:fill="9EC3DE"/>
            <w:noWrap/>
            <w:vAlign w:val="bottom"/>
          </w:tcPr>
          <w:p w:rsidR="00AE0F90" w:rsidRPr="00DC4A4B" w:rsidRDefault="00AE0F90" w:rsidP="00197DD9">
            <w:pPr>
              <w:jc w:val="center"/>
              <w:rPr>
                <w:rFonts w:ascii="Times New Roman" w:hAnsi="Times New Roman"/>
                <w:b/>
                <w:sz w:val="18"/>
                <w:szCs w:val="18"/>
              </w:rPr>
            </w:pPr>
            <w:r w:rsidRPr="00DC4A4B">
              <w:rPr>
                <w:rFonts w:ascii="Times New Roman" w:hAnsi="Times New Roman"/>
                <w:b/>
                <w:sz w:val="18"/>
                <w:szCs w:val="18"/>
              </w:rPr>
              <w:t>2017</w:t>
            </w:r>
          </w:p>
        </w:tc>
      </w:tr>
      <w:tr w:rsidR="00AE0F90" w:rsidRPr="00DC4A4B" w:rsidTr="00197DD9">
        <w:trPr>
          <w:trHeight w:hRule="exact" w:val="454"/>
        </w:trPr>
        <w:tc>
          <w:tcPr>
            <w:tcW w:w="2425" w:type="pct"/>
            <w:shd w:val="clear" w:color="auto" w:fill="auto"/>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Коефициент на икономическа активност (15+ г.)</w:t>
            </w:r>
          </w:p>
        </w:tc>
        <w:tc>
          <w:tcPr>
            <w:tcW w:w="440"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w:t>
            </w:r>
          </w:p>
        </w:tc>
        <w:tc>
          <w:tcPr>
            <w:tcW w:w="58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53.8</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52.5</w:t>
            </w:r>
          </w:p>
        </w:tc>
        <w:tc>
          <w:tcPr>
            <w:tcW w:w="515"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54.1</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55.4</w:t>
            </w:r>
          </w:p>
        </w:tc>
      </w:tr>
      <w:tr w:rsidR="00AE0F90" w:rsidRPr="00DC4A4B" w:rsidTr="00197DD9">
        <w:trPr>
          <w:trHeight w:hRule="exact" w:val="454"/>
        </w:trPr>
        <w:tc>
          <w:tcPr>
            <w:tcW w:w="2425" w:type="pct"/>
            <w:shd w:val="clear" w:color="auto" w:fill="auto"/>
            <w:noWrap/>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Коефициент на икономическа активност (15 - 64 г.)</w:t>
            </w:r>
          </w:p>
        </w:tc>
        <w:tc>
          <w:tcPr>
            <w:tcW w:w="440"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w:t>
            </w:r>
          </w:p>
        </w:tc>
        <w:tc>
          <w:tcPr>
            <w:tcW w:w="58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67.8</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65.9</w:t>
            </w:r>
          </w:p>
        </w:tc>
        <w:tc>
          <w:tcPr>
            <w:tcW w:w="515"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69.0</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71.3</w:t>
            </w:r>
          </w:p>
        </w:tc>
      </w:tr>
      <w:tr w:rsidR="00AE0F90" w:rsidRPr="00DC4A4B" w:rsidTr="00197DD9">
        <w:trPr>
          <w:trHeight w:hRule="exact" w:val="454"/>
        </w:trPr>
        <w:tc>
          <w:tcPr>
            <w:tcW w:w="2425" w:type="pct"/>
            <w:shd w:val="clear" w:color="auto" w:fill="auto"/>
            <w:noWrap/>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Коефициент на демографско заместване</w:t>
            </w:r>
          </w:p>
        </w:tc>
        <w:tc>
          <w:tcPr>
            <w:tcW w:w="440" w:type="pct"/>
            <w:shd w:val="clear" w:color="auto" w:fill="auto"/>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брой</w:t>
            </w:r>
          </w:p>
        </w:tc>
        <w:tc>
          <w:tcPr>
            <w:tcW w:w="588" w:type="pct"/>
            <w:shd w:val="clear" w:color="auto" w:fill="auto"/>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91/100</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68/100</w:t>
            </w:r>
          </w:p>
        </w:tc>
        <w:tc>
          <w:tcPr>
            <w:tcW w:w="515"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62/100</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64/100</w:t>
            </w:r>
          </w:p>
        </w:tc>
      </w:tr>
      <w:tr w:rsidR="00AE0F90" w:rsidRPr="00DC4A4B" w:rsidTr="00197DD9">
        <w:trPr>
          <w:trHeight w:hRule="exact" w:val="454"/>
        </w:trPr>
        <w:tc>
          <w:tcPr>
            <w:tcW w:w="2425" w:type="pct"/>
            <w:shd w:val="clear" w:color="auto" w:fill="auto"/>
            <w:noWrap/>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Коефициент на заетост (15-64 г.)</w:t>
            </w:r>
          </w:p>
        </w:tc>
        <w:tc>
          <w:tcPr>
            <w:tcW w:w="440"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w:t>
            </w:r>
          </w:p>
        </w:tc>
        <w:tc>
          <w:tcPr>
            <w:tcW w:w="58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64.0</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58.4</w:t>
            </w:r>
          </w:p>
        </w:tc>
        <w:tc>
          <w:tcPr>
            <w:tcW w:w="515"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61.0</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66.9</w:t>
            </w:r>
          </w:p>
        </w:tc>
      </w:tr>
      <w:tr w:rsidR="00AE0F90" w:rsidRPr="00DC4A4B" w:rsidTr="00197DD9">
        <w:trPr>
          <w:trHeight w:hRule="exact" w:val="454"/>
        </w:trPr>
        <w:tc>
          <w:tcPr>
            <w:tcW w:w="2425" w:type="pct"/>
            <w:shd w:val="clear" w:color="auto" w:fill="auto"/>
            <w:noWrap/>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Коефициент на заетост (20-64 г.)</w:t>
            </w:r>
          </w:p>
        </w:tc>
        <w:tc>
          <w:tcPr>
            <w:tcW w:w="440"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w:t>
            </w:r>
          </w:p>
        </w:tc>
        <w:tc>
          <w:tcPr>
            <w:tcW w:w="58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70.7</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62.9</w:t>
            </w:r>
          </w:p>
        </w:tc>
        <w:tc>
          <w:tcPr>
            <w:tcW w:w="515"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65.1</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71.3</w:t>
            </w:r>
          </w:p>
        </w:tc>
      </w:tr>
      <w:tr w:rsidR="00AE0F90" w:rsidRPr="00DC4A4B" w:rsidTr="00197DD9">
        <w:trPr>
          <w:trHeight w:hRule="exact" w:val="454"/>
        </w:trPr>
        <w:tc>
          <w:tcPr>
            <w:tcW w:w="2425" w:type="pct"/>
            <w:shd w:val="clear" w:color="auto" w:fill="auto"/>
            <w:noWrap/>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Коефициент на безработица (15-74 г.)</w:t>
            </w:r>
          </w:p>
        </w:tc>
        <w:tc>
          <w:tcPr>
            <w:tcW w:w="440"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w:t>
            </w:r>
          </w:p>
        </w:tc>
        <w:tc>
          <w:tcPr>
            <w:tcW w:w="58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5.6</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11.3</w:t>
            </w:r>
          </w:p>
        </w:tc>
        <w:tc>
          <w:tcPr>
            <w:tcW w:w="515"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11.4</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6.2</w:t>
            </w:r>
          </w:p>
        </w:tc>
      </w:tr>
      <w:tr w:rsidR="00AE0F90" w:rsidRPr="00DC4A4B" w:rsidTr="00197DD9">
        <w:trPr>
          <w:trHeight w:hRule="exact" w:val="454"/>
        </w:trPr>
        <w:tc>
          <w:tcPr>
            <w:tcW w:w="2425" w:type="pct"/>
            <w:shd w:val="clear" w:color="auto" w:fill="auto"/>
            <w:noWrap/>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Коефициент на младежка безработица (15-24 г.)</w:t>
            </w:r>
          </w:p>
        </w:tc>
        <w:tc>
          <w:tcPr>
            <w:tcW w:w="440"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w:t>
            </w:r>
          </w:p>
        </w:tc>
        <w:tc>
          <w:tcPr>
            <w:tcW w:w="58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11.9</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25.0</w:t>
            </w:r>
          </w:p>
        </w:tc>
        <w:tc>
          <w:tcPr>
            <w:tcW w:w="515"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23.8</w:t>
            </w:r>
          </w:p>
        </w:tc>
        <w:tc>
          <w:tcPr>
            <w:tcW w:w="516"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12.9</w:t>
            </w:r>
          </w:p>
        </w:tc>
      </w:tr>
    </w:tbl>
    <w:p w:rsidR="00AE0F90" w:rsidRPr="00DC4A4B" w:rsidRDefault="00AE0F90" w:rsidP="00AE0F90">
      <w:pPr>
        <w:pStyle w:val="ListParagraph"/>
        <w:spacing w:line="269" w:lineRule="auto"/>
        <w:ind w:left="0" w:firstLine="0"/>
        <w:contextualSpacing w:val="0"/>
        <w:jc w:val="both"/>
        <w:rPr>
          <w:rFonts w:ascii="Times New Roman" w:hAnsi="Times New Roman" w:cs="Times New Roman"/>
          <w:lang w:val="en-US"/>
        </w:rPr>
      </w:pPr>
    </w:p>
    <w:p w:rsidR="00AE0F90" w:rsidRPr="00DC4A4B" w:rsidRDefault="00AE0F90" w:rsidP="00AE0F90">
      <w:pPr>
        <w:pStyle w:val="ListParagraph"/>
        <w:spacing w:line="269" w:lineRule="auto"/>
        <w:ind w:left="0" w:firstLine="0"/>
        <w:contextualSpacing w:val="0"/>
        <w:jc w:val="both"/>
        <w:rPr>
          <w:rFonts w:ascii="Times New Roman" w:hAnsi="Times New Roman" w:cs="Times New Roman"/>
        </w:rPr>
      </w:pPr>
      <w:r w:rsidRPr="00DC4A4B">
        <w:rPr>
          <w:rFonts w:ascii="Times New Roman" w:hAnsi="Times New Roman" w:cs="Times New Roman"/>
        </w:rPr>
        <w:t xml:space="preserve">След намаляването си в годините на икономическа криза, нивото на </w:t>
      </w:r>
      <w:r w:rsidRPr="00DC4A4B">
        <w:rPr>
          <w:rFonts w:ascii="Times New Roman" w:eastAsia="Calibri" w:hAnsi="Times New Roman" w:cs="Times New Roman"/>
          <w:b/>
          <w:color w:val="365F91"/>
          <w:lang w:eastAsia="en-US"/>
        </w:rPr>
        <w:t>икономическа активност</w:t>
      </w:r>
      <w:r w:rsidRPr="00DC4A4B">
        <w:rPr>
          <w:rFonts w:ascii="Times New Roman" w:hAnsi="Times New Roman" w:cs="Times New Roman"/>
        </w:rPr>
        <w:t xml:space="preserve"> формира тенденция на постоянно нарастване и достига исторически максимум през 2017 г. До голяма степен такава динамика на показателя – следваща фазите на икономическия цикъл – е вътрешно присъща, но значителен принос към отчетеното в последните години подобрение имат и активните мерки на пазара на труда, реализирани с национални програми и проекти, съфинансирани със средства от ЕС. Въпреки това обаче достигната стойност (71.3%</w:t>
      </w:r>
      <w:r w:rsidRPr="00DC4A4B">
        <w:rPr>
          <w:rStyle w:val="FootnoteReference"/>
          <w:rFonts w:ascii="Times New Roman" w:hAnsi="Times New Roman"/>
        </w:rPr>
        <w:footnoteReference w:id="40"/>
      </w:r>
      <w:r w:rsidRPr="00DC4A4B">
        <w:rPr>
          <w:rFonts w:ascii="Times New Roman" w:hAnsi="Times New Roman" w:cs="Times New Roman"/>
        </w:rPr>
        <w:t xml:space="preserve">) все още изостава от средното ниво в ЕС – 73.4%. В различните възрастови групи, най-голямо е изоставането спрямо ЕС при младежите (15-24 години), достигащо 14.4 процентни пункта (41.7% - средно за ЕС и 26.3% – в България). Значително по-ниска е разликата при основния контингент в работната сила (лицата на възраст 25-54 години) – 84.3% от населението в страната е икономически активно, спрямо 85.7% в ЕС. В най-горната възрастова група, нивото на икономическа активност в страната дори надвишава наблюдаваното в ЕС – 61.8%, спрямо 60.6%. Почти 2/3 от населението с начално и по-ниско образование, както и повече от половината от лицата с основно образование, са икономически неактивни; значително по-малко са изключените от пазара на труда сред по-високо образованите (всеки четвърти със средно и всеки девети с висше образование е икономически неактивен). Налице е необходимост от повишаване на ефективността на мерките за включване на пазара на труда на тези групи, както и на жените, предвид продължаващите различия в икономическата активност между половете. В регионален аспект, съществено изоставане по този показател се наблюдава в Северозападния и Северен централен райони, докато при останалите равнището на икономическа активност е около средното за страната. </w:t>
      </w:r>
    </w:p>
    <w:p w:rsidR="00AE0F90" w:rsidRPr="00DC4A4B" w:rsidRDefault="00AE0F90" w:rsidP="00AE0F90">
      <w:pPr>
        <w:pStyle w:val="ListParagraph"/>
        <w:spacing w:line="269" w:lineRule="auto"/>
        <w:ind w:left="0" w:firstLine="0"/>
        <w:contextualSpacing w:val="0"/>
        <w:jc w:val="both"/>
        <w:rPr>
          <w:rFonts w:ascii="Times New Roman" w:hAnsi="Times New Roman" w:cs="Times New Roman"/>
        </w:rPr>
      </w:pPr>
      <w:r w:rsidRPr="00DC4A4B">
        <w:rPr>
          <w:rFonts w:ascii="Times New Roman" w:hAnsi="Times New Roman" w:cs="Times New Roman"/>
        </w:rPr>
        <w:t xml:space="preserve">През 2017 г. </w:t>
      </w:r>
      <w:r w:rsidRPr="00DC4A4B">
        <w:rPr>
          <w:rFonts w:ascii="Times New Roman" w:eastAsia="Calibri" w:hAnsi="Times New Roman" w:cs="Times New Roman"/>
          <w:b/>
          <w:color w:val="365F91"/>
          <w:lang w:eastAsia="en-US"/>
        </w:rPr>
        <w:t>безработните лица</w:t>
      </w:r>
      <w:r w:rsidRPr="00DC4A4B">
        <w:rPr>
          <w:rStyle w:val="FootnoteReference"/>
          <w:rFonts w:ascii="Times New Roman" w:hAnsi="Times New Roman"/>
        </w:rPr>
        <w:footnoteReference w:id="41"/>
      </w:r>
      <w:r w:rsidRPr="00DC4A4B">
        <w:rPr>
          <w:rFonts w:ascii="Times New Roman" w:hAnsi="Times New Roman" w:cs="Times New Roman"/>
        </w:rPr>
        <w:t xml:space="preserve"> са 206.9 хил. или повече от двойно по-малко от регистрирания пик в техния брой през 2013 г. и малко над историческия им минимум от 199.7 хил. през 2008 г. Равнището на безработица намалява от 13.0% през 2013 г. до 6.2%, при средни стойности за ЕС, съответно 10.9% и 7.6%. Въпреки позитивната тенденция обаче преобладаващата част от безработните в страната (55% през 2017 г.) остава извън заетост повече от една година, а всеки трети безработен не успява да си намери работа повече от 2 години. Съответните показатели за продължителна безработица в ЕС са 44.7% и 28.0%. Дългият престой извън работа е свързан със загуба на трудови умения и навици и намалява значително шансовете на лицата за повторно интегриране в заетост. Лицата без квалификация и специалност формират най-голямата група (56%) в структурата на безработните, като почти 2/3 от лицата в групата са с основно и по-ниско образование. В териториален аспект, равнището на безработица варира от 3.3% в Югозападния район до 11.3% в Северозападния район.</w:t>
      </w:r>
    </w:p>
    <w:p w:rsidR="00AE0F90" w:rsidRPr="00DC4A4B" w:rsidRDefault="00AE0F90" w:rsidP="00AE0F90">
      <w:pPr>
        <w:pStyle w:val="ListParagraph"/>
        <w:spacing w:line="269" w:lineRule="auto"/>
        <w:ind w:left="0" w:firstLine="0"/>
        <w:contextualSpacing w:val="0"/>
        <w:jc w:val="both"/>
        <w:rPr>
          <w:rFonts w:ascii="Times New Roman" w:hAnsi="Times New Roman" w:cs="Times New Roman"/>
        </w:rPr>
      </w:pPr>
      <w:r w:rsidRPr="00DC4A4B">
        <w:rPr>
          <w:rFonts w:ascii="Times New Roman" w:hAnsi="Times New Roman" w:cs="Times New Roman"/>
        </w:rPr>
        <w:lastRenderedPageBreak/>
        <w:t xml:space="preserve">Следвайки общата тенденция на намаление на безработицата в годините след кризата, </w:t>
      </w:r>
      <w:r w:rsidRPr="00DC4A4B">
        <w:rPr>
          <w:rFonts w:ascii="Times New Roman" w:eastAsia="Calibri" w:hAnsi="Times New Roman" w:cs="Times New Roman"/>
          <w:b/>
          <w:color w:val="365F91"/>
          <w:lang w:eastAsia="en-US"/>
        </w:rPr>
        <w:t>младежката безработица</w:t>
      </w:r>
      <w:r w:rsidRPr="00DC4A4B">
        <w:rPr>
          <w:rFonts w:ascii="Times New Roman" w:hAnsi="Times New Roman" w:cs="Times New Roman"/>
        </w:rPr>
        <w:t xml:space="preserve"> също отбелязва подобрение, като през 2017 г. е по-ниска от средната за ЕС (16.8%) и достига 12.9%. Позитивната динамика обаче може само частично да бъде обяснена с нарастване на заетостта сред младежите през разглеждания период (от 21.2% през 2013 г. до 22.9% през 2017 г.), докато преобладаващият </w:t>
      </w:r>
      <w:proofErr w:type="spellStart"/>
      <w:r w:rsidRPr="00DC4A4B">
        <w:rPr>
          <w:rFonts w:ascii="Times New Roman" w:hAnsi="Times New Roman" w:cs="Times New Roman"/>
        </w:rPr>
        <w:t>детерминант</w:t>
      </w:r>
      <w:proofErr w:type="spellEnd"/>
      <w:r w:rsidRPr="00DC4A4B">
        <w:rPr>
          <w:rFonts w:ascii="Times New Roman" w:hAnsi="Times New Roman" w:cs="Times New Roman"/>
        </w:rPr>
        <w:t xml:space="preserve"> е допълнителното намаление на икономическата активност на лицата в тази възрастова група (съответно от 29.6% до 26.3%, при средно за периода ниво в ЕС от 42%), показващо ниска ефективност на активните мерки на пазара на труда, целящи активиране на младежите. България е една от държавите-членки на ЕС с най-висок дял на </w:t>
      </w:r>
      <w:r w:rsidRPr="00DC4A4B">
        <w:rPr>
          <w:rFonts w:ascii="Times New Roman" w:eastAsia="Calibri" w:hAnsi="Times New Roman" w:cs="Times New Roman"/>
          <w:b/>
          <w:color w:val="365F91"/>
          <w:lang w:eastAsia="en-US"/>
        </w:rPr>
        <w:t>младите хора между 15 и 24-годишна възраст, които не са нито в образование, нито в обучение, нито в заетост</w:t>
      </w:r>
      <w:r w:rsidRPr="00DC4A4B">
        <w:rPr>
          <w:rFonts w:ascii="Times New Roman" w:hAnsi="Times New Roman" w:cs="Times New Roman"/>
        </w:rPr>
        <w:t>. При средно ниво от 10.9% за ЕС през 2017 г., стойността на показателя за страната възлиза на 15.3%. Недостатъчно високото образователно равнище и отдалечеността от пазара на труда излагат младите хора на силен риск от изпадане в бедност.</w:t>
      </w:r>
    </w:p>
    <w:p w:rsidR="00AE0F90" w:rsidRPr="00DC4A4B" w:rsidRDefault="00AE0F90" w:rsidP="00AE0F90">
      <w:pPr>
        <w:widowControl w:val="0"/>
        <w:autoSpaceDE w:val="0"/>
        <w:autoSpaceDN w:val="0"/>
        <w:adjustRightInd w:val="0"/>
        <w:spacing w:after="120"/>
        <w:jc w:val="both"/>
        <w:rPr>
          <w:rFonts w:ascii="Times New Roman" w:eastAsia="Times New Roman" w:hAnsi="Times New Roman"/>
          <w:lang w:eastAsia="bg-BG"/>
        </w:rPr>
      </w:pPr>
      <w:r w:rsidRPr="00DC4A4B">
        <w:rPr>
          <w:rFonts w:ascii="Times New Roman" w:eastAsia="Times New Roman" w:hAnsi="Times New Roman"/>
          <w:lang w:eastAsia="bg-BG"/>
        </w:rPr>
        <w:t xml:space="preserve">Броят на </w:t>
      </w:r>
      <w:r w:rsidRPr="00DC4A4B">
        <w:rPr>
          <w:rFonts w:ascii="Times New Roman" w:hAnsi="Times New Roman"/>
          <w:b/>
          <w:color w:val="365F91"/>
        </w:rPr>
        <w:t>обезкуражените лица</w:t>
      </w:r>
      <w:r w:rsidRPr="00DC4A4B">
        <w:rPr>
          <w:rFonts w:ascii="Times New Roman" w:eastAsia="Times New Roman" w:hAnsi="Times New Roman"/>
          <w:lang w:eastAsia="bg-BG"/>
        </w:rPr>
        <w:t>, които желаят да работят, но не търсят работа, следва устойчива низходяща тенденция в последните години и достига 115.8 хил.</w:t>
      </w:r>
      <w:r w:rsidRPr="00DC4A4B">
        <w:rPr>
          <w:rStyle w:val="FootnoteReference"/>
          <w:rFonts w:ascii="Times New Roman" w:hAnsi="Times New Roman"/>
        </w:rPr>
        <w:footnoteReference w:id="42"/>
      </w:r>
      <w:r w:rsidRPr="00DC4A4B">
        <w:rPr>
          <w:rFonts w:ascii="Times New Roman" w:eastAsia="Times New Roman" w:hAnsi="Times New Roman"/>
          <w:lang w:eastAsia="bg-BG"/>
        </w:rPr>
        <w:t xml:space="preserve"> през 2017 г., главно поради текущата фаза на икономическия цикъл, въпреки че предприетите мерки за тяхното активиране и включване в обучения и заетост също допринасят за позитивното явление.</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DC4A4B">
        <w:rPr>
          <w:rFonts w:ascii="Times New Roman" w:hAnsi="Times New Roman" w:cs="Times New Roman"/>
        </w:rPr>
        <w:t xml:space="preserve">Паралелно с възстановяването на икономиката и ускоряването на растежа й, </w:t>
      </w:r>
      <w:r w:rsidRPr="00DC4A4B">
        <w:rPr>
          <w:rFonts w:ascii="Times New Roman" w:eastAsia="Calibri" w:hAnsi="Times New Roman" w:cs="Times New Roman"/>
          <w:b/>
          <w:color w:val="365F91"/>
          <w:lang w:eastAsia="en-US"/>
        </w:rPr>
        <w:t>заетостта</w:t>
      </w:r>
      <w:r w:rsidRPr="00DC4A4B">
        <w:rPr>
          <w:rFonts w:ascii="Times New Roman" w:hAnsi="Times New Roman" w:cs="Times New Roman"/>
        </w:rPr>
        <w:t xml:space="preserve"> се възстановява и дори надхвърля нивата, наблюдавани преди кризата, достигайки 71.3%</w:t>
      </w:r>
      <w:r w:rsidRPr="00DC4A4B">
        <w:rPr>
          <w:rStyle w:val="FootnoteReference"/>
          <w:rFonts w:ascii="Times New Roman" w:hAnsi="Times New Roman"/>
        </w:rPr>
        <w:footnoteReference w:id="43"/>
      </w:r>
      <w:r w:rsidRPr="00DC4A4B">
        <w:rPr>
          <w:rFonts w:ascii="Times New Roman" w:hAnsi="Times New Roman" w:cs="Times New Roman"/>
        </w:rPr>
        <w:t xml:space="preserve"> през 2017 г. (сравнено със 70.7% през 2008 г.), но все още остава далеч от националната цел (76%) за 2020 г., изоставайки и от средната стойност за ЕС (72.2%). При това, превишаването на историческия максимум в равнището на заетостта, наблюдаван непосредствено преди кризата, е реализиран на фона на значително намаление на лицата в трудоспособна възраст, в резултат на което броят на заетите в икономиката през 2017 г. (3 058.4 хил.) остава все още по-нисък от този през 2008 г. с 217.4 хил. Въпреки предприетите мерки и програми за насърчаване на заетостта през последните години, и в частност тази при жените, все още се наблюдава различие в заетостта между двата пола. Равнището на заетост сред лицата с основно, начално и по-ниско образование е значително по-ниско от общото равнище на заетост. В териториален план, разликата между равнищата на заетост в най-добре представилия се район (Югозападния) и най-изоставащия (Северозападния) се задълбочава и достига 14.1 процентни пункта. </w:t>
      </w:r>
    </w:p>
    <w:p w:rsidR="009B05DA" w:rsidRPr="00DC4A4B" w:rsidRDefault="009B05DA" w:rsidP="009B05DA">
      <w:pPr>
        <w:pStyle w:val="ListParagraph"/>
        <w:keepNext/>
        <w:spacing w:line="269" w:lineRule="auto"/>
        <w:ind w:left="0"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t xml:space="preserve">Таблица </w:t>
      </w:r>
      <w:r>
        <w:rPr>
          <w:rFonts w:ascii="Times New Roman" w:hAnsi="Times New Roman" w:cs="Times New Roman"/>
          <w:b/>
          <w:sz w:val="18"/>
          <w:szCs w:val="18"/>
        </w:rPr>
        <w:t xml:space="preserve">4. </w:t>
      </w:r>
      <w:r w:rsidRPr="00DC4A4B">
        <w:rPr>
          <w:rFonts w:ascii="Times New Roman" w:hAnsi="Times New Roman" w:cs="Times New Roman"/>
          <w:b/>
          <w:sz w:val="18"/>
          <w:szCs w:val="18"/>
        </w:rPr>
        <w:t>Коефициенти на заетост (20-64 г.) по пол</w:t>
      </w:r>
      <w:r w:rsidRPr="00DC4A4B">
        <w:rPr>
          <w:rFonts w:ascii="Times New Roman" w:hAnsi="Times New Roman" w:cs="Times New Roman"/>
          <w:b/>
          <w:sz w:val="18"/>
          <w:szCs w:val="18"/>
          <w:lang w:val="en-GB"/>
        </w:rPr>
        <w:t xml:space="preserve"> </w:t>
      </w:r>
      <w:r w:rsidRPr="00DC4A4B">
        <w:rPr>
          <w:rFonts w:ascii="Times New Roman" w:hAnsi="Times New Roman" w:cs="Times New Roman"/>
          <w:b/>
          <w:sz w:val="18"/>
          <w:szCs w:val="18"/>
        </w:rPr>
        <w:t>и образование, 2008-2017 г.</w:t>
      </w:r>
    </w:p>
    <w:tbl>
      <w:tblPr>
        <w:tblW w:w="4518" w:type="pct"/>
        <w:tblInd w:w="108" w:type="dxa"/>
        <w:tblBorders>
          <w:top w:val="double" w:sz="4" w:space="0" w:color="9EC3DE"/>
          <w:left w:val="double" w:sz="4" w:space="0" w:color="9EC3DE"/>
          <w:bottom w:val="double" w:sz="4" w:space="0" w:color="9EC3DE"/>
          <w:right w:val="double" w:sz="4" w:space="0" w:color="9EC3DE"/>
          <w:insideH w:val="double" w:sz="4" w:space="0" w:color="9EC3DE"/>
          <w:insideV w:val="double" w:sz="4" w:space="0" w:color="9EC3DE"/>
        </w:tblBorders>
        <w:tblLayout w:type="fixed"/>
        <w:tblLook w:val="04A0" w:firstRow="1" w:lastRow="0" w:firstColumn="1" w:lastColumn="0" w:noHBand="0" w:noVBand="1"/>
      </w:tblPr>
      <w:tblGrid>
        <w:gridCol w:w="4667"/>
        <w:gridCol w:w="1106"/>
        <w:gridCol w:w="971"/>
        <w:gridCol w:w="969"/>
        <w:gridCol w:w="969"/>
      </w:tblGrid>
      <w:tr w:rsidR="009B05DA" w:rsidRPr="00DC4A4B" w:rsidTr="00D20631">
        <w:trPr>
          <w:trHeight w:hRule="exact" w:val="454"/>
        </w:trPr>
        <w:tc>
          <w:tcPr>
            <w:tcW w:w="2688" w:type="pct"/>
            <w:shd w:val="clear" w:color="auto" w:fill="9EC3DE"/>
            <w:noWrap/>
            <w:vAlign w:val="center"/>
          </w:tcPr>
          <w:p w:rsidR="009B05DA" w:rsidRPr="00DC4A4B" w:rsidRDefault="009B05DA" w:rsidP="00D20631">
            <w:pPr>
              <w:jc w:val="center"/>
              <w:rPr>
                <w:rFonts w:ascii="Times New Roman" w:hAnsi="Times New Roman"/>
                <w:b/>
                <w:sz w:val="18"/>
                <w:szCs w:val="18"/>
              </w:rPr>
            </w:pPr>
            <w:r w:rsidRPr="00DC4A4B">
              <w:rPr>
                <w:rFonts w:ascii="Times New Roman" w:hAnsi="Times New Roman"/>
                <w:b/>
                <w:sz w:val="18"/>
                <w:szCs w:val="18"/>
              </w:rPr>
              <w:t>Показател</w:t>
            </w:r>
          </w:p>
        </w:tc>
        <w:tc>
          <w:tcPr>
            <w:tcW w:w="637" w:type="pct"/>
            <w:shd w:val="clear" w:color="auto" w:fill="9EC3DE"/>
            <w:noWrap/>
            <w:vAlign w:val="center"/>
          </w:tcPr>
          <w:p w:rsidR="009B05DA" w:rsidRPr="00DC4A4B" w:rsidRDefault="009B05DA" w:rsidP="00D20631">
            <w:pPr>
              <w:jc w:val="center"/>
              <w:rPr>
                <w:rFonts w:ascii="Times New Roman" w:hAnsi="Times New Roman"/>
                <w:b/>
                <w:sz w:val="18"/>
                <w:szCs w:val="18"/>
              </w:rPr>
            </w:pPr>
            <w:r w:rsidRPr="00DC4A4B">
              <w:rPr>
                <w:rFonts w:ascii="Times New Roman" w:hAnsi="Times New Roman"/>
                <w:b/>
                <w:sz w:val="18"/>
                <w:szCs w:val="18"/>
              </w:rPr>
              <w:t>2008</w:t>
            </w:r>
          </w:p>
        </w:tc>
        <w:tc>
          <w:tcPr>
            <w:tcW w:w="559" w:type="pct"/>
            <w:shd w:val="clear" w:color="auto" w:fill="9EC3DE"/>
            <w:noWrap/>
            <w:vAlign w:val="center"/>
          </w:tcPr>
          <w:p w:rsidR="009B05DA" w:rsidRPr="00DC4A4B" w:rsidRDefault="009B05DA" w:rsidP="00D20631">
            <w:pPr>
              <w:jc w:val="center"/>
              <w:rPr>
                <w:rFonts w:ascii="Times New Roman" w:hAnsi="Times New Roman"/>
                <w:b/>
                <w:bCs/>
                <w:sz w:val="18"/>
                <w:szCs w:val="18"/>
              </w:rPr>
            </w:pPr>
            <w:r w:rsidRPr="00DC4A4B">
              <w:rPr>
                <w:rFonts w:ascii="Times New Roman" w:hAnsi="Times New Roman"/>
                <w:b/>
                <w:bCs/>
                <w:sz w:val="18"/>
                <w:szCs w:val="18"/>
              </w:rPr>
              <w:t>2011</w:t>
            </w:r>
          </w:p>
        </w:tc>
        <w:tc>
          <w:tcPr>
            <w:tcW w:w="558" w:type="pct"/>
            <w:shd w:val="clear" w:color="auto" w:fill="9EC3DE"/>
            <w:noWrap/>
            <w:vAlign w:val="center"/>
          </w:tcPr>
          <w:p w:rsidR="009B05DA" w:rsidRPr="00DC4A4B" w:rsidRDefault="009B05DA" w:rsidP="00D20631">
            <w:pPr>
              <w:jc w:val="center"/>
              <w:rPr>
                <w:rFonts w:ascii="Times New Roman" w:hAnsi="Times New Roman"/>
                <w:b/>
                <w:sz w:val="18"/>
                <w:szCs w:val="18"/>
              </w:rPr>
            </w:pPr>
            <w:r w:rsidRPr="00DC4A4B">
              <w:rPr>
                <w:rFonts w:ascii="Times New Roman" w:hAnsi="Times New Roman"/>
                <w:b/>
                <w:sz w:val="18"/>
                <w:szCs w:val="18"/>
              </w:rPr>
              <w:t>2014</w:t>
            </w:r>
          </w:p>
        </w:tc>
        <w:tc>
          <w:tcPr>
            <w:tcW w:w="558" w:type="pct"/>
            <w:shd w:val="clear" w:color="auto" w:fill="9EC3DE"/>
            <w:noWrap/>
            <w:vAlign w:val="center"/>
          </w:tcPr>
          <w:p w:rsidR="009B05DA" w:rsidRPr="00DC4A4B" w:rsidRDefault="009B05DA" w:rsidP="00D20631">
            <w:pPr>
              <w:jc w:val="center"/>
              <w:rPr>
                <w:rFonts w:ascii="Times New Roman" w:hAnsi="Times New Roman"/>
                <w:b/>
                <w:sz w:val="18"/>
                <w:szCs w:val="18"/>
              </w:rPr>
            </w:pPr>
            <w:r w:rsidRPr="00DC4A4B">
              <w:rPr>
                <w:rFonts w:ascii="Times New Roman" w:hAnsi="Times New Roman"/>
                <w:b/>
                <w:sz w:val="18"/>
                <w:szCs w:val="18"/>
              </w:rPr>
              <w:t>2017</w:t>
            </w:r>
          </w:p>
        </w:tc>
      </w:tr>
      <w:tr w:rsidR="009B05DA" w:rsidRPr="00DC4A4B" w:rsidTr="00D20631">
        <w:trPr>
          <w:trHeight w:hRule="exact" w:val="454"/>
        </w:trPr>
        <w:tc>
          <w:tcPr>
            <w:tcW w:w="2688" w:type="pct"/>
            <w:shd w:val="clear" w:color="auto" w:fill="auto"/>
            <w:vAlign w:val="center"/>
          </w:tcPr>
          <w:p w:rsidR="009B05DA" w:rsidRPr="00DC4A4B" w:rsidRDefault="009B05DA" w:rsidP="00D20631">
            <w:pPr>
              <w:rPr>
                <w:rFonts w:ascii="Times New Roman" w:hAnsi="Times New Roman"/>
                <w:color w:val="000000"/>
                <w:sz w:val="18"/>
                <w:szCs w:val="18"/>
              </w:rPr>
            </w:pPr>
            <w:r w:rsidRPr="00DC4A4B">
              <w:rPr>
                <w:rFonts w:ascii="Times New Roman" w:hAnsi="Times New Roman"/>
                <w:color w:val="000000"/>
                <w:sz w:val="18"/>
                <w:szCs w:val="18"/>
              </w:rPr>
              <w:t>По пол</w:t>
            </w:r>
          </w:p>
        </w:tc>
        <w:tc>
          <w:tcPr>
            <w:tcW w:w="637"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p>
        </w:tc>
        <w:tc>
          <w:tcPr>
            <w:tcW w:w="559"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p>
        </w:tc>
      </w:tr>
      <w:tr w:rsidR="009B05DA" w:rsidRPr="00DC4A4B" w:rsidTr="00D20631">
        <w:trPr>
          <w:trHeight w:hRule="exact" w:val="454"/>
        </w:trPr>
        <w:tc>
          <w:tcPr>
            <w:tcW w:w="2688" w:type="pct"/>
            <w:shd w:val="clear" w:color="auto" w:fill="auto"/>
            <w:noWrap/>
            <w:vAlign w:val="center"/>
          </w:tcPr>
          <w:p w:rsidR="009B05DA" w:rsidRPr="00DC4A4B" w:rsidRDefault="009B05DA" w:rsidP="00D20631">
            <w:pPr>
              <w:rPr>
                <w:rFonts w:ascii="Times New Roman" w:hAnsi="Times New Roman"/>
                <w:color w:val="000000"/>
                <w:sz w:val="18"/>
                <w:szCs w:val="18"/>
              </w:rPr>
            </w:pPr>
            <w:r w:rsidRPr="00DC4A4B">
              <w:rPr>
                <w:rFonts w:ascii="Times New Roman" w:hAnsi="Times New Roman"/>
                <w:color w:val="000000"/>
                <w:sz w:val="18"/>
                <w:szCs w:val="18"/>
              </w:rPr>
              <w:t xml:space="preserve">   - мъже</w:t>
            </w:r>
          </w:p>
        </w:tc>
        <w:tc>
          <w:tcPr>
            <w:tcW w:w="637"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76.1</w:t>
            </w:r>
          </w:p>
        </w:tc>
        <w:tc>
          <w:tcPr>
            <w:tcW w:w="559"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66.0</w:t>
            </w: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68.1</w:t>
            </w: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75.3</w:t>
            </w:r>
          </w:p>
        </w:tc>
      </w:tr>
      <w:tr w:rsidR="009B05DA" w:rsidRPr="00DC4A4B" w:rsidTr="00D20631">
        <w:trPr>
          <w:trHeight w:hRule="exact" w:val="454"/>
        </w:trPr>
        <w:tc>
          <w:tcPr>
            <w:tcW w:w="2688" w:type="pct"/>
            <w:shd w:val="clear" w:color="auto" w:fill="auto"/>
            <w:noWrap/>
            <w:vAlign w:val="center"/>
          </w:tcPr>
          <w:p w:rsidR="009B05DA" w:rsidRPr="00DC4A4B" w:rsidRDefault="009B05DA" w:rsidP="00D20631">
            <w:pPr>
              <w:rPr>
                <w:rFonts w:ascii="Times New Roman" w:hAnsi="Times New Roman"/>
                <w:color w:val="000000"/>
                <w:sz w:val="18"/>
                <w:szCs w:val="18"/>
              </w:rPr>
            </w:pPr>
            <w:r w:rsidRPr="00DC4A4B">
              <w:rPr>
                <w:rFonts w:ascii="Times New Roman" w:hAnsi="Times New Roman"/>
                <w:color w:val="000000"/>
                <w:sz w:val="18"/>
                <w:szCs w:val="18"/>
              </w:rPr>
              <w:t xml:space="preserve">   - жени</w:t>
            </w:r>
          </w:p>
        </w:tc>
        <w:tc>
          <w:tcPr>
            <w:tcW w:w="637" w:type="pct"/>
            <w:shd w:val="clear" w:color="auto" w:fill="auto"/>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65.4</w:t>
            </w:r>
          </w:p>
        </w:tc>
        <w:tc>
          <w:tcPr>
            <w:tcW w:w="559"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59.8</w:t>
            </w: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62.0</w:t>
            </w: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67.3</w:t>
            </w:r>
          </w:p>
        </w:tc>
      </w:tr>
      <w:tr w:rsidR="009B05DA" w:rsidRPr="00DC4A4B" w:rsidTr="00D20631">
        <w:trPr>
          <w:trHeight w:hRule="exact" w:val="454"/>
        </w:trPr>
        <w:tc>
          <w:tcPr>
            <w:tcW w:w="2688" w:type="pct"/>
            <w:shd w:val="clear" w:color="auto" w:fill="auto"/>
            <w:noWrap/>
            <w:vAlign w:val="center"/>
          </w:tcPr>
          <w:p w:rsidR="009B05DA" w:rsidRPr="00DC4A4B" w:rsidRDefault="009B05DA" w:rsidP="00D20631">
            <w:pPr>
              <w:rPr>
                <w:rFonts w:ascii="Times New Roman" w:hAnsi="Times New Roman"/>
                <w:color w:val="000000"/>
                <w:sz w:val="18"/>
                <w:szCs w:val="18"/>
              </w:rPr>
            </w:pPr>
            <w:r w:rsidRPr="00DC4A4B">
              <w:rPr>
                <w:rFonts w:ascii="Times New Roman" w:hAnsi="Times New Roman"/>
                <w:color w:val="000000"/>
                <w:sz w:val="18"/>
                <w:szCs w:val="18"/>
              </w:rPr>
              <w:t>По степени на образование</w:t>
            </w:r>
          </w:p>
        </w:tc>
        <w:tc>
          <w:tcPr>
            <w:tcW w:w="637" w:type="pct"/>
            <w:shd w:val="clear" w:color="auto" w:fill="auto"/>
            <w:vAlign w:val="center"/>
          </w:tcPr>
          <w:p w:rsidR="009B05DA" w:rsidRPr="00DC4A4B" w:rsidRDefault="009B05DA" w:rsidP="00D20631">
            <w:pPr>
              <w:jc w:val="right"/>
              <w:rPr>
                <w:rFonts w:ascii="Times New Roman" w:hAnsi="Times New Roman"/>
                <w:color w:val="000000"/>
                <w:sz w:val="18"/>
                <w:szCs w:val="18"/>
              </w:rPr>
            </w:pPr>
          </w:p>
        </w:tc>
        <w:tc>
          <w:tcPr>
            <w:tcW w:w="559"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p>
        </w:tc>
      </w:tr>
      <w:tr w:rsidR="009B05DA" w:rsidRPr="00DC4A4B" w:rsidTr="00D20631">
        <w:trPr>
          <w:trHeight w:hRule="exact" w:val="454"/>
        </w:trPr>
        <w:tc>
          <w:tcPr>
            <w:tcW w:w="2688" w:type="pct"/>
            <w:shd w:val="clear" w:color="auto" w:fill="auto"/>
            <w:noWrap/>
            <w:vAlign w:val="center"/>
          </w:tcPr>
          <w:p w:rsidR="009B05DA" w:rsidRPr="00DC4A4B" w:rsidRDefault="009B05DA" w:rsidP="00D20631">
            <w:pPr>
              <w:rPr>
                <w:rFonts w:ascii="Times New Roman" w:hAnsi="Times New Roman"/>
                <w:color w:val="000000"/>
                <w:sz w:val="18"/>
                <w:szCs w:val="18"/>
              </w:rPr>
            </w:pPr>
            <w:r w:rsidRPr="00DC4A4B">
              <w:rPr>
                <w:rFonts w:ascii="Times New Roman" w:hAnsi="Times New Roman"/>
                <w:color w:val="000000"/>
                <w:sz w:val="18"/>
                <w:szCs w:val="18"/>
              </w:rPr>
              <w:t xml:space="preserve">   - основно и по-ниско </w:t>
            </w:r>
          </w:p>
        </w:tc>
        <w:tc>
          <w:tcPr>
            <w:tcW w:w="637"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46.5</w:t>
            </w:r>
          </w:p>
        </w:tc>
        <w:tc>
          <w:tcPr>
            <w:tcW w:w="559"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36.7</w:t>
            </w: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38.6</w:t>
            </w: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44.4</w:t>
            </w:r>
          </w:p>
        </w:tc>
      </w:tr>
      <w:tr w:rsidR="009B05DA" w:rsidRPr="00DC4A4B" w:rsidTr="00D20631">
        <w:trPr>
          <w:trHeight w:hRule="exact" w:val="454"/>
        </w:trPr>
        <w:tc>
          <w:tcPr>
            <w:tcW w:w="2688" w:type="pct"/>
            <w:shd w:val="clear" w:color="auto" w:fill="auto"/>
            <w:noWrap/>
            <w:vAlign w:val="center"/>
          </w:tcPr>
          <w:p w:rsidR="009B05DA" w:rsidRPr="00DC4A4B" w:rsidRDefault="009B05DA" w:rsidP="00D20631">
            <w:pPr>
              <w:rPr>
                <w:rFonts w:ascii="Times New Roman" w:hAnsi="Times New Roman"/>
                <w:color w:val="000000"/>
                <w:sz w:val="18"/>
                <w:szCs w:val="18"/>
              </w:rPr>
            </w:pPr>
            <w:r w:rsidRPr="00DC4A4B">
              <w:rPr>
                <w:rFonts w:ascii="Times New Roman" w:hAnsi="Times New Roman"/>
                <w:color w:val="000000"/>
                <w:sz w:val="18"/>
                <w:szCs w:val="18"/>
              </w:rPr>
              <w:t xml:space="preserve">   - средно </w:t>
            </w:r>
          </w:p>
        </w:tc>
        <w:tc>
          <w:tcPr>
            <w:tcW w:w="637"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74.2</w:t>
            </w:r>
          </w:p>
        </w:tc>
        <w:tc>
          <w:tcPr>
            <w:tcW w:w="559"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64.8</w:t>
            </w: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66.3</w:t>
            </w: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72.8</w:t>
            </w:r>
          </w:p>
        </w:tc>
      </w:tr>
      <w:tr w:rsidR="009B05DA" w:rsidRPr="00DC4A4B" w:rsidTr="00D20631">
        <w:trPr>
          <w:trHeight w:hRule="exact" w:val="454"/>
        </w:trPr>
        <w:tc>
          <w:tcPr>
            <w:tcW w:w="2688" w:type="pct"/>
            <w:shd w:val="clear" w:color="auto" w:fill="auto"/>
            <w:noWrap/>
            <w:vAlign w:val="center"/>
          </w:tcPr>
          <w:p w:rsidR="009B05DA" w:rsidRPr="00DC4A4B" w:rsidRDefault="009B05DA" w:rsidP="00D20631">
            <w:pPr>
              <w:rPr>
                <w:rFonts w:ascii="Times New Roman" w:hAnsi="Times New Roman"/>
                <w:color w:val="000000"/>
                <w:sz w:val="18"/>
                <w:szCs w:val="18"/>
              </w:rPr>
            </w:pPr>
            <w:r w:rsidRPr="00DC4A4B">
              <w:rPr>
                <w:rFonts w:ascii="Times New Roman" w:hAnsi="Times New Roman"/>
                <w:color w:val="000000"/>
                <w:sz w:val="18"/>
                <w:szCs w:val="18"/>
              </w:rPr>
              <w:t xml:space="preserve">   - висше </w:t>
            </w:r>
          </w:p>
        </w:tc>
        <w:tc>
          <w:tcPr>
            <w:tcW w:w="637" w:type="pct"/>
            <w:shd w:val="clear" w:color="auto" w:fill="auto"/>
            <w:noWrap/>
            <w:vAlign w:val="center"/>
          </w:tcPr>
          <w:p w:rsidR="009B05DA" w:rsidRPr="00DC4A4B" w:rsidRDefault="009B05DA" w:rsidP="00D20631">
            <w:pPr>
              <w:jc w:val="right"/>
              <w:rPr>
                <w:rFonts w:ascii="Times New Roman" w:hAnsi="Times New Roman"/>
                <w:color w:val="000000"/>
                <w:sz w:val="18"/>
                <w:szCs w:val="18"/>
                <w:lang w:val="en-GB"/>
              </w:rPr>
            </w:pPr>
            <w:r w:rsidRPr="00DC4A4B">
              <w:rPr>
                <w:rFonts w:ascii="Times New Roman" w:hAnsi="Times New Roman"/>
                <w:color w:val="000000"/>
                <w:sz w:val="18"/>
                <w:szCs w:val="18"/>
                <w:lang w:val="en-GB"/>
              </w:rPr>
              <w:t>86.1</w:t>
            </w:r>
          </w:p>
        </w:tc>
        <w:tc>
          <w:tcPr>
            <w:tcW w:w="559" w:type="pct"/>
            <w:shd w:val="clear" w:color="auto" w:fill="auto"/>
            <w:noWrap/>
            <w:vAlign w:val="center"/>
          </w:tcPr>
          <w:p w:rsidR="009B05DA" w:rsidRPr="00DC4A4B" w:rsidRDefault="009B05DA" w:rsidP="00D20631">
            <w:pPr>
              <w:jc w:val="right"/>
              <w:rPr>
                <w:rFonts w:ascii="Times New Roman" w:hAnsi="Times New Roman"/>
                <w:color w:val="000000"/>
                <w:sz w:val="18"/>
                <w:szCs w:val="18"/>
                <w:lang w:val="en-GB"/>
              </w:rPr>
            </w:pPr>
            <w:r w:rsidRPr="00DC4A4B">
              <w:rPr>
                <w:rFonts w:ascii="Times New Roman" w:hAnsi="Times New Roman"/>
                <w:color w:val="000000"/>
                <w:sz w:val="18"/>
                <w:szCs w:val="18"/>
                <w:lang w:val="en-GB"/>
              </w:rPr>
              <w:t>81.2</w:t>
            </w: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81.7</w:t>
            </w:r>
          </w:p>
        </w:tc>
        <w:tc>
          <w:tcPr>
            <w:tcW w:w="558" w:type="pct"/>
            <w:shd w:val="clear" w:color="auto" w:fill="auto"/>
            <w:noWrap/>
            <w:vAlign w:val="center"/>
          </w:tcPr>
          <w:p w:rsidR="009B05DA" w:rsidRPr="00DC4A4B" w:rsidRDefault="009B05DA" w:rsidP="00D20631">
            <w:pPr>
              <w:jc w:val="right"/>
              <w:rPr>
                <w:rFonts w:ascii="Times New Roman" w:hAnsi="Times New Roman"/>
                <w:color w:val="000000"/>
                <w:sz w:val="18"/>
                <w:szCs w:val="18"/>
              </w:rPr>
            </w:pPr>
            <w:r w:rsidRPr="00DC4A4B">
              <w:rPr>
                <w:rFonts w:ascii="Times New Roman" w:hAnsi="Times New Roman"/>
                <w:color w:val="000000"/>
                <w:sz w:val="18"/>
                <w:szCs w:val="18"/>
              </w:rPr>
              <w:t>85.5</w:t>
            </w:r>
          </w:p>
        </w:tc>
      </w:tr>
    </w:tbl>
    <w:p w:rsidR="009B05DA" w:rsidRDefault="009B05DA" w:rsidP="00AE0F90">
      <w:pPr>
        <w:pStyle w:val="ListParagraph"/>
        <w:spacing w:after="0" w:line="269" w:lineRule="auto"/>
        <w:ind w:left="4678" w:firstLine="0"/>
        <w:contextualSpacing w:val="0"/>
        <w:jc w:val="both"/>
        <w:rPr>
          <w:rFonts w:ascii="Times New Roman" w:hAnsi="Times New Roman" w:cs="Times New Roman"/>
          <w:b/>
          <w:sz w:val="18"/>
          <w:szCs w:val="18"/>
        </w:rPr>
      </w:pPr>
    </w:p>
    <w:p w:rsidR="009B05DA" w:rsidRDefault="009B05DA" w:rsidP="00AE0F90">
      <w:pPr>
        <w:pStyle w:val="ListParagraph"/>
        <w:spacing w:after="0" w:line="269" w:lineRule="auto"/>
        <w:ind w:left="4678" w:firstLine="0"/>
        <w:contextualSpacing w:val="0"/>
        <w:jc w:val="both"/>
        <w:rPr>
          <w:rFonts w:ascii="Times New Roman" w:hAnsi="Times New Roman" w:cs="Times New Roman"/>
          <w:b/>
          <w:sz w:val="18"/>
          <w:szCs w:val="18"/>
        </w:rPr>
      </w:pPr>
    </w:p>
    <w:p w:rsidR="009B05DA" w:rsidRDefault="009B05DA" w:rsidP="00AE0F90">
      <w:pPr>
        <w:pStyle w:val="ListParagraph"/>
        <w:spacing w:after="0" w:line="269" w:lineRule="auto"/>
        <w:ind w:left="4678" w:firstLine="0"/>
        <w:contextualSpacing w:val="0"/>
        <w:jc w:val="both"/>
        <w:rPr>
          <w:rFonts w:ascii="Times New Roman" w:hAnsi="Times New Roman" w:cs="Times New Roman"/>
          <w:b/>
          <w:sz w:val="18"/>
          <w:szCs w:val="18"/>
        </w:rPr>
      </w:pPr>
    </w:p>
    <w:p w:rsidR="00AE0F90" w:rsidRPr="00DC4A4B" w:rsidRDefault="00AE0F90" w:rsidP="00AE0F90">
      <w:pPr>
        <w:pStyle w:val="ListParagraph"/>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lastRenderedPageBreak/>
        <w:t xml:space="preserve">Графика </w:t>
      </w:r>
      <w:r w:rsidR="00227FC6">
        <w:rPr>
          <w:rFonts w:ascii="Times New Roman" w:hAnsi="Times New Roman" w:cs="Times New Roman"/>
          <w:b/>
          <w:sz w:val="18"/>
          <w:szCs w:val="18"/>
        </w:rPr>
        <w:t xml:space="preserve">4. </w:t>
      </w:r>
      <w:r w:rsidRPr="00DC4A4B">
        <w:rPr>
          <w:rFonts w:ascii="Times New Roman" w:hAnsi="Times New Roman" w:cs="Times New Roman"/>
          <w:b/>
          <w:sz w:val="18"/>
          <w:szCs w:val="18"/>
        </w:rPr>
        <w:t xml:space="preserve">Растеж на наетите в преработващата промишленост според технологичната интензивност на дейността, 2011 г. </w:t>
      </w:r>
      <w:r w:rsidRPr="00DC4A4B">
        <w:rPr>
          <w:rFonts w:ascii="Times New Roman" w:hAnsi="Times New Roman" w:cs="Times New Roman"/>
          <w:b/>
          <w:sz w:val="18"/>
          <w:szCs w:val="18"/>
          <w:lang w:val="en-US"/>
        </w:rPr>
        <w:t>=</w:t>
      </w:r>
      <w:r w:rsidRPr="00DC4A4B">
        <w:rPr>
          <w:rFonts w:ascii="Times New Roman" w:hAnsi="Times New Roman" w:cs="Times New Roman"/>
          <w:b/>
          <w:sz w:val="18"/>
          <w:szCs w:val="18"/>
        </w:rPr>
        <w:t xml:space="preserve"> 100</w:t>
      </w:r>
    </w:p>
    <w:p w:rsidR="00AE0F90" w:rsidRDefault="00AE0F90" w:rsidP="00AE0F90">
      <w:pPr>
        <w:pStyle w:val="ListParagraph"/>
        <w:spacing w:line="269" w:lineRule="auto"/>
        <w:ind w:left="0" w:firstLine="0"/>
        <w:contextualSpacing w:val="0"/>
        <w:jc w:val="both"/>
        <w:rPr>
          <w:rFonts w:ascii="Times New Roman" w:hAnsi="Times New Roman" w:cs="Times New Roman"/>
          <w:b/>
          <w:sz w:val="18"/>
          <w:szCs w:val="18"/>
        </w:rPr>
      </w:pPr>
      <w:r>
        <w:rPr>
          <w:rFonts w:ascii="Times New Roman" w:hAnsi="Times New Roman" w:cs="Times New Roman"/>
          <w:noProof/>
        </w:rPr>
        <w:drawing>
          <wp:anchor distT="0" distB="0" distL="114300" distR="114300" simplePos="0" relativeHeight="251660800" behindDoc="0" locked="0" layoutInCell="1" allowOverlap="1" wp14:anchorId="2C332CF3" wp14:editId="4250279D">
            <wp:simplePos x="0" y="0"/>
            <wp:positionH relativeFrom="column">
              <wp:posOffset>2985135</wp:posOffset>
            </wp:positionH>
            <wp:positionV relativeFrom="paragraph">
              <wp:posOffset>62865</wp:posOffset>
            </wp:positionV>
            <wp:extent cx="3117215" cy="1874520"/>
            <wp:effectExtent l="0" t="0" r="6985"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17215" cy="1874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C4A4B">
        <w:rPr>
          <w:rFonts w:ascii="Times New Roman" w:hAnsi="Times New Roman" w:cs="Times New Roman"/>
        </w:rPr>
        <w:t>В годините след икономическата криза се наблюдава бавно преструктуриране на заетостта от по-ниско технологични промишлени отрасли към такива с по-висока технологична интензивност</w:t>
      </w:r>
      <w:r w:rsidRPr="00DC4A4B">
        <w:rPr>
          <w:rStyle w:val="FootnoteReference"/>
          <w:rFonts w:ascii="Times New Roman" w:hAnsi="Times New Roman"/>
        </w:rPr>
        <w:footnoteReference w:id="44"/>
      </w:r>
      <w:r w:rsidRPr="00DC4A4B">
        <w:rPr>
          <w:rFonts w:ascii="Times New Roman" w:hAnsi="Times New Roman" w:cs="Times New Roman"/>
        </w:rPr>
        <w:t>. Отраслите, класифицирани като средно-високо технологични, регистрират най-бурно развитие, като наетите в тях нарастват с повече от ¼ за периода 2011-2017 г. Средно-ниско технологичните и високо технологичните отрасли отбелязват двуцифрен растеж на откритите работни места през разглеждания период, докато ниско технологичните отрасли продължават да свиват работниците си. Въпреки несъмнено позитивната тенденция, структурата на заетостта в отраслите от преработващата промишленост остава сравнително неблагоприятна, характеризирана с преобладаващ дял на ниско технологичните отрасли (50.9%).</w:t>
      </w:r>
    </w:p>
    <w:p w:rsidR="00AE0F90" w:rsidRPr="00DC4A4B" w:rsidRDefault="00AE0F90" w:rsidP="00AE0F90">
      <w:pPr>
        <w:pStyle w:val="ListParagraph"/>
        <w:keepNext/>
        <w:spacing w:after="0" w:line="269" w:lineRule="auto"/>
        <w:ind w:left="4678" w:firstLine="0"/>
        <w:contextualSpacing w:val="0"/>
        <w:jc w:val="both"/>
        <w:rPr>
          <w:rFonts w:ascii="Times New Roman" w:hAnsi="Times New Roman" w:cs="Times New Roman"/>
        </w:rPr>
      </w:pPr>
      <w:r w:rsidRPr="00DC4A4B">
        <w:rPr>
          <w:rFonts w:ascii="Times New Roman" w:hAnsi="Times New Roman" w:cs="Times New Roman"/>
          <w:b/>
          <w:sz w:val="18"/>
          <w:szCs w:val="18"/>
        </w:rPr>
        <w:t xml:space="preserve">Графика </w:t>
      </w:r>
      <w:r w:rsidR="00227FC6">
        <w:rPr>
          <w:rFonts w:ascii="Times New Roman" w:hAnsi="Times New Roman" w:cs="Times New Roman"/>
          <w:b/>
          <w:sz w:val="18"/>
          <w:szCs w:val="18"/>
        </w:rPr>
        <w:t xml:space="preserve">5. </w:t>
      </w:r>
      <w:r w:rsidRPr="00DC4A4B">
        <w:rPr>
          <w:rFonts w:ascii="Times New Roman" w:hAnsi="Times New Roman" w:cs="Times New Roman"/>
          <w:b/>
          <w:sz w:val="18"/>
          <w:szCs w:val="18"/>
        </w:rPr>
        <w:t>Недостиг на труд в секторите на икономиката</w:t>
      </w:r>
    </w:p>
    <w:p w:rsidR="00AE0F90" w:rsidRPr="00DC4A4B" w:rsidRDefault="00AE0F90" w:rsidP="00AE0F90">
      <w:pPr>
        <w:pStyle w:val="ListParagraph"/>
        <w:spacing w:line="269" w:lineRule="auto"/>
        <w:ind w:left="0" w:firstLine="0"/>
        <w:contextualSpacing w:val="0"/>
        <w:jc w:val="both"/>
        <w:rPr>
          <w:rFonts w:ascii="Times New Roman" w:hAnsi="Times New Roman" w:cs="Times New Roman"/>
          <w:b/>
          <w:sz w:val="18"/>
          <w:szCs w:val="18"/>
        </w:rPr>
      </w:pPr>
      <w:r>
        <w:rPr>
          <w:rFonts w:ascii="Times New Roman" w:hAnsi="Times New Roman" w:cs="Times New Roman"/>
          <w:noProof/>
        </w:rPr>
        <w:drawing>
          <wp:anchor distT="0" distB="0" distL="114300" distR="114300" simplePos="0" relativeHeight="251651584" behindDoc="1" locked="0" layoutInCell="1" allowOverlap="1" wp14:anchorId="180C9ADD" wp14:editId="369DC82F">
            <wp:simplePos x="0" y="0"/>
            <wp:positionH relativeFrom="column">
              <wp:posOffset>2969260</wp:posOffset>
            </wp:positionH>
            <wp:positionV relativeFrom="paragraph">
              <wp:posOffset>74930</wp:posOffset>
            </wp:positionV>
            <wp:extent cx="3124835" cy="1877060"/>
            <wp:effectExtent l="0" t="0" r="0" b="8890"/>
            <wp:wrapTight wrapText="bothSides">
              <wp:wrapPolygon edited="0">
                <wp:start x="0" y="0"/>
                <wp:lineTo x="0" y="21483"/>
                <wp:lineTo x="21464" y="21483"/>
                <wp:lineTo x="21464"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24835" cy="18770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C4A4B">
        <w:rPr>
          <w:rFonts w:ascii="Times New Roman" w:hAnsi="Times New Roman" w:cs="Times New Roman"/>
        </w:rPr>
        <w:t>Ограниченията в предлагането на труд, свързани с неблагоприятната демографска картина (т.е. намаляването на населението в трудоспособна възраст), в комбинация с повишеното търсене на работна сила от страна на предприемачите – предвид фазата на икономически</w:t>
      </w:r>
      <w:r>
        <w:rPr>
          <w:rFonts w:ascii="Times New Roman" w:hAnsi="Times New Roman" w:cs="Times New Roman"/>
        </w:rPr>
        <w:t>я</w:t>
      </w:r>
      <w:r w:rsidRPr="00DC4A4B">
        <w:rPr>
          <w:rFonts w:ascii="Times New Roman" w:hAnsi="Times New Roman" w:cs="Times New Roman"/>
        </w:rPr>
        <w:t xml:space="preserve"> цикъл, </w:t>
      </w:r>
      <w:proofErr w:type="spellStart"/>
      <w:r w:rsidRPr="00DC4A4B">
        <w:rPr>
          <w:rFonts w:ascii="Times New Roman" w:hAnsi="Times New Roman" w:cs="Times New Roman"/>
        </w:rPr>
        <w:t>резултира</w:t>
      </w:r>
      <w:proofErr w:type="spellEnd"/>
      <w:r w:rsidRPr="00DC4A4B">
        <w:rPr>
          <w:rFonts w:ascii="Times New Roman" w:hAnsi="Times New Roman" w:cs="Times New Roman"/>
        </w:rPr>
        <w:t xml:space="preserve"> в постепенно нарастване на </w:t>
      </w:r>
      <w:r w:rsidRPr="00DC4A4B">
        <w:rPr>
          <w:rFonts w:ascii="Times New Roman" w:eastAsia="Calibri" w:hAnsi="Times New Roman" w:cs="Times New Roman"/>
          <w:b/>
          <w:color w:val="365F91"/>
          <w:lang w:eastAsia="en-US"/>
        </w:rPr>
        <w:t>недостига на труд</w:t>
      </w:r>
      <w:r w:rsidRPr="00DC4A4B">
        <w:rPr>
          <w:rFonts w:ascii="Times New Roman" w:hAnsi="Times New Roman" w:cs="Times New Roman"/>
        </w:rPr>
        <w:t xml:space="preserve"> в икономиката. Според данните от бизнес анкетите на НСИ, делът на работодателите, които определят недостига на труд, включително квалифициран такъв, като пречка пред развитието на дейността им, проявява тенденция на непрекъснато нарастване в годините след кризата и през 2017 г. трайно надхвърля нивата си от 2008 г. във всички наблюдавани сектори на икономиката. Това издига допълнително предизвикателство пред активните мерки на пазара на труда чрез подходящи програми за подобряване на качеството на работната сила да адресират съществуващите трудови резерви в икономиката, които са извън заетост – главно лицата с основно и по-ниско образование и без квалификация, младежите, жените, както и лицата, които притежават знания и умения, включително и квалификация, които не съответстват на изискванията на съвременните работни места.</w:t>
      </w:r>
      <w:r w:rsidRPr="00DC4A4B">
        <w:rPr>
          <w:rFonts w:ascii="Times New Roman" w:hAnsi="Times New Roman" w:cs="Times New Roman"/>
          <w:b/>
          <w:sz w:val="18"/>
          <w:szCs w:val="18"/>
        </w:rPr>
        <w:t xml:space="preserve"> </w:t>
      </w:r>
    </w:p>
    <w:p w:rsidR="00AE0F90" w:rsidRPr="00DC4A4B"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lastRenderedPageBreak/>
        <w:t xml:space="preserve">Графика </w:t>
      </w:r>
      <w:r w:rsidR="00227FC6">
        <w:rPr>
          <w:rFonts w:ascii="Times New Roman" w:hAnsi="Times New Roman" w:cs="Times New Roman"/>
          <w:b/>
          <w:sz w:val="18"/>
          <w:szCs w:val="18"/>
        </w:rPr>
        <w:t xml:space="preserve">6. </w:t>
      </w:r>
      <w:r w:rsidRPr="00DC4A4B">
        <w:rPr>
          <w:rFonts w:ascii="Times New Roman" w:hAnsi="Times New Roman" w:cs="Times New Roman"/>
          <w:b/>
          <w:sz w:val="18"/>
          <w:szCs w:val="18"/>
        </w:rPr>
        <w:t>Растеж на производителността на един зает в България и ЕС (постоянни цени), 2011 г. = 100</w:t>
      </w:r>
    </w:p>
    <w:p w:rsidR="00AE0F90" w:rsidRPr="00DC4A4B"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w:drawing>
          <wp:anchor distT="0" distB="0" distL="114300" distR="114300" simplePos="0" relativeHeight="251652608" behindDoc="1" locked="0" layoutInCell="1" allowOverlap="1" wp14:anchorId="5E1579E1" wp14:editId="78F19F86">
            <wp:simplePos x="0" y="0"/>
            <wp:positionH relativeFrom="column">
              <wp:posOffset>3009265</wp:posOffset>
            </wp:positionH>
            <wp:positionV relativeFrom="paragraph">
              <wp:posOffset>80010</wp:posOffset>
            </wp:positionV>
            <wp:extent cx="3084830" cy="1854200"/>
            <wp:effectExtent l="0" t="0" r="1270" b="0"/>
            <wp:wrapTight wrapText="bothSides">
              <wp:wrapPolygon edited="0">
                <wp:start x="0" y="0"/>
                <wp:lineTo x="0" y="21304"/>
                <wp:lineTo x="21476" y="21304"/>
                <wp:lineTo x="21476"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84830" cy="1854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C4A4B">
        <w:rPr>
          <w:rFonts w:ascii="Times New Roman" w:hAnsi="Times New Roman" w:cs="Times New Roman"/>
        </w:rPr>
        <w:t xml:space="preserve">В условията на повишено търсене на труд в страната, съпроводено с натиск за увеличаване на работната заплата и съответен ръст на разходите за труд на единица продукция, </w:t>
      </w:r>
      <w:r w:rsidRPr="00DC4A4B">
        <w:rPr>
          <w:rFonts w:ascii="Times New Roman" w:eastAsia="Calibri" w:hAnsi="Times New Roman" w:cs="Times New Roman"/>
          <w:b/>
          <w:color w:val="365F91"/>
          <w:lang w:eastAsia="en-US"/>
        </w:rPr>
        <w:t xml:space="preserve">производителността на труда </w:t>
      </w:r>
      <w:r w:rsidRPr="00DC4A4B">
        <w:rPr>
          <w:rFonts w:ascii="Times New Roman" w:hAnsi="Times New Roman" w:cs="Times New Roman"/>
        </w:rPr>
        <w:t>продължава да нараства, като по този начин не позволява да се наблюдава влошаване на конкурентоспособността на икономиката. През периода след излизането от икономическата криза, производителността на един зает в България нараства кумулативно с 14%, изпреварвайки чувствително средния растеж в ЕС (4.1%), което позволява достигане на по-висока степен на реална конвергенция, но страната остава на последно място по този показател с едва 45.6% от стойността му в ЕС.</w:t>
      </w:r>
    </w:p>
    <w:p w:rsidR="00AE0F90" w:rsidRPr="00996CC9" w:rsidRDefault="00AE0F90" w:rsidP="00AE0F90">
      <w:pPr>
        <w:pStyle w:val="Heading3"/>
        <w:numPr>
          <w:ilvl w:val="2"/>
          <w:numId w:val="16"/>
        </w:numPr>
        <w:rPr>
          <w:color w:val="1F497D"/>
        </w:rPr>
      </w:pPr>
      <w:bookmarkStart w:id="19" w:name="_Toc525196968"/>
      <w:bookmarkStart w:id="20" w:name="_Toc791809"/>
      <w:r>
        <w:rPr>
          <w:color w:val="1F497D"/>
        </w:rPr>
        <w:t>Бедност и с</w:t>
      </w:r>
      <w:r w:rsidRPr="00996CC9">
        <w:rPr>
          <w:color w:val="1F497D"/>
        </w:rPr>
        <w:t xml:space="preserve">оциално </w:t>
      </w:r>
      <w:r>
        <w:rPr>
          <w:color w:val="1F497D"/>
        </w:rPr>
        <w:t>из</w:t>
      </w:r>
      <w:r w:rsidRPr="00996CC9">
        <w:rPr>
          <w:color w:val="1F497D"/>
        </w:rPr>
        <w:t>ключване</w:t>
      </w:r>
      <w:bookmarkEnd w:id="19"/>
      <w:bookmarkEnd w:id="20"/>
    </w:p>
    <w:p w:rsidR="00AE0F90" w:rsidRPr="00062A45" w:rsidRDefault="00AE0F90" w:rsidP="00AE0F90">
      <w:pPr>
        <w:pStyle w:val="ListParagraph"/>
        <w:spacing w:line="269" w:lineRule="auto"/>
        <w:ind w:left="0" w:firstLine="0"/>
        <w:contextualSpacing w:val="0"/>
        <w:jc w:val="both"/>
        <w:rPr>
          <w:rFonts w:ascii="Times New Roman" w:hAnsi="Times New Roman" w:cs="Times New Roman"/>
          <w:i/>
        </w:rPr>
      </w:pPr>
      <w:r w:rsidRPr="00DC4A4B">
        <w:rPr>
          <w:rFonts w:ascii="Times New Roman" w:hAnsi="Times New Roman" w:cs="Times New Roman"/>
          <w:i/>
        </w:rPr>
        <w:t>Бедността и социалното изключване продължават да представляват сериозни предизвикателства. Реализираният икономически растеж не е достатъчно приобщаващ, за да способства намаляването на социалните неравенства. Относителният дял на лицата, изложени на риск от бедност, е сред най-високите в ЕС, като нараства допълнително в годините след кризата. Значително по-голям е рискът от бедност при някои от най-уязвимите групи от населението като безработните и пенсионерите. Неравенството в доходите продължава да се увеличава. Социалните трансфери имат много ограничено въздействие върху намаляването на бедността и неравенството.</w:t>
      </w:r>
      <w:r w:rsidRPr="00062A45">
        <w:t xml:space="preserve"> </w:t>
      </w:r>
      <w:r w:rsidRPr="00062A45">
        <w:rPr>
          <w:rFonts w:ascii="Times New Roman" w:hAnsi="Times New Roman" w:cs="Times New Roman"/>
          <w:i/>
        </w:rPr>
        <w:t>Достъпът до социални услуги се характеризира с големи различия между селските и градските райони и остава предизвикателство за най-уязвимите работници.</w:t>
      </w:r>
    </w:p>
    <w:p w:rsidR="00AE0F90" w:rsidRPr="00DC4A4B" w:rsidRDefault="00AE0F90" w:rsidP="00AE0F90">
      <w:pPr>
        <w:pStyle w:val="ListParagraph"/>
        <w:spacing w:line="269" w:lineRule="auto"/>
        <w:ind w:left="0" w:firstLine="0"/>
        <w:contextualSpacing w:val="0"/>
        <w:jc w:val="both"/>
        <w:rPr>
          <w:rFonts w:ascii="Times New Roman" w:hAnsi="Times New Roman" w:cs="Times New Roman"/>
        </w:rPr>
      </w:pPr>
      <w:r w:rsidRPr="00DC4A4B">
        <w:rPr>
          <w:rFonts w:ascii="Times New Roman" w:hAnsi="Times New Roman" w:cs="Times New Roman"/>
        </w:rPr>
        <w:t xml:space="preserve">Въпреки икономическото оживление и възстановяването на заетостта през последните години, </w:t>
      </w:r>
      <w:r w:rsidRPr="00DC4A4B">
        <w:rPr>
          <w:rFonts w:ascii="Times New Roman" w:eastAsia="Calibri" w:hAnsi="Times New Roman" w:cs="Times New Roman"/>
          <w:b/>
          <w:color w:val="365F91"/>
          <w:lang w:eastAsia="en-US"/>
        </w:rPr>
        <w:t>бедността</w:t>
      </w:r>
      <w:r w:rsidRPr="00DC4A4B">
        <w:rPr>
          <w:rFonts w:ascii="Times New Roman" w:hAnsi="Times New Roman" w:cs="Times New Roman"/>
        </w:rPr>
        <w:t xml:space="preserve"> продължава да нараства. През 2017 г. относителният дял на лицата, изложени на риск от бедност, достига 23.4% при 17.3%</w:t>
      </w:r>
      <w:r w:rsidRPr="00DC4A4B">
        <w:rPr>
          <w:rStyle w:val="FootnoteReference"/>
          <w:rFonts w:ascii="Times New Roman" w:hAnsi="Times New Roman"/>
        </w:rPr>
        <w:footnoteReference w:id="45"/>
      </w:r>
      <w:r w:rsidRPr="00DC4A4B">
        <w:rPr>
          <w:rFonts w:ascii="Times New Roman" w:hAnsi="Times New Roman" w:cs="Times New Roman"/>
        </w:rPr>
        <w:t xml:space="preserve"> средно за ЕС, като от всички държави – членки на общността единствено Румъния регистрира по-неблагоприятен резултат (23.6%). По възрастови групи, рискът от бедност е най-висок за населението в </w:t>
      </w:r>
      <w:proofErr w:type="spellStart"/>
      <w:r w:rsidRPr="00DC4A4B">
        <w:rPr>
          <w:rFonts w:ascii="Times New Roman" w:hAnsi="Times New Roman" w:cs="Times New Roman"/>
        </w:rPr>
        <w:t>надтрудоспособна</w:t>
      </w:r>
      <w:proofErr w:type="spellEnd"/>
      <w:r w:rsidRPr="00DC4A4B">
        <w:rPr>
          <w:rFonts w:ascii="Times New Roman" w:hAnsi="Times New Roman" w:cs="Times New Roman"/>
        </w:rPr>
        <w:t xml:space="preserve"> възраст (32%) и децата до 18-годишна възраст (29.4%). Разликата в бедността и в равнището на заетост при хората с увреждания също е сред най-високите в ЕС, което е признак за слабости в социалната защита и мерките в областта на заетостта</w:t>
      </w:r>
      <w:r w:rsidRPr="00DC4A4B">
        <w:rPr>
          <w:rStyle w:val="FootnoteReference"/>
          <w:rFonts w:ascii="Times New Roman" w:hAnsi="Times New Roman"/>
        </w:rPr>
        <w:footnoteReference w:id="46"/>
      </w:r>
      <w:r w:rsidRPr="00DC4A4B">
        <w:rPr>
          <w:rFonts w:ascii="Times New Roman" w:hAnsi="Times New Roman" w:cs="Times New Roman"/>
        </w:rPr>
        <w:t xml:space="preserve">. </w:t>
      </w:r>
      <w:r w:rsidRPr="00AE4707">
        <w:rPr>
          <w:rFonts w:ascii="Times New Roman" w:eastAsia="Calibri" w:hAnsi="Times New Roman" w:cs="Times New Roman"/>
          <w:b/>
          <w:color w:val="365F91"/>
          <w:lang w:eastAsia="en-US"/>
        </w:rPr>
        <w:t>Паричната бедност</w:t>
      </w:r>
      <w:r w:rsidRPr="00DC4A4B">
        <w:rPr>
          <w:rFonts w:ascii="Times New Roman" w:hAnsi="Times New Roman" w:cs="Times New Roman"/>
        </w:rPr>
        <w:t xml:space="preserve"> сред безработните е около пет пъти по-висока, отколкото при наетите на работа лица. Въпреки това бедността сред работещите също е висока (9.9%) и се свързва с ниско ниво на умения и образование (четирима от десет работещи бедни са с основно или по-ниско образование) и със заетост в домашно или </w:t>
      </w:r>
      <w:proofErr w:type="spellStart"/>
      <w:r w:rsidRPr="00DC4A4B">
        <w:rPr>
          <w:rFonts w:ascii="Times New Roman" w:hAnsi="Times New Roman" w:cs="Times New Roman"/>
        </w:rPr>
        <w:t>полупазарно</w:t>
      </w:r>
      <w:proofErr w:type="spellEnd"/>
      <w:r w:rsidRPr="00DC4A4B">
        <w:rPr>
          <w:rFonts w:ascii="Times New Roman" w:hAnsi="Times New Roman" w:cs="Times New Roman"/>
        </w:rPr>
        <w:t xml:space="preserve"> земеделие. Наблюдава се силна приемственост между поколенията на социалните и икономически условия на живот. Рискът от бедност сред децата с ниско образовани родители достига 77.5% през 2017 г. и е 25 пъти по-голям, отколкото сред децата с висококвалифицирани родители.</w:t>
      </w:r>
    </w:p>
    <w:p w:rsidR="00AE0F90" w:rsidRPr="00DC4A4B" w:rsidRDefault="00AE0F90" w:rsidP="00AE0F90">
      <w:pPr>
        <w:pStyle w:val="ListParagraph"/>
        <w:spacing w:line="269" w:lineRule="auto"/>
        <w:ind w:left="0" w:firstLine="0"/>
        <w:contextualSpacing w:val="0"/>
        <w:jc w:val="both"/>
        <w:rPr>
          <w:rFonts w:ascii="Times New Roman" w:hAnsi="Times New Roman" w:cs="Times New Roman"/>
        </w:rPr>
      </w:pPr>
      <w:r w:rsidRPr="00DC4A4B">
        <w:rPr>
          <w:rFonts w:ascii="Times New Roman" w:hAnsi="Times New Roman" w:cs="Times New Roman"/>
        </w:rPr>
        <w:t xml:space="preserve">Относителният дял на населението, изпитващо </w:t>
      </w:r>
      <w:r w:rsidRPr="00AE4707">
        <w:rPr>
          <w:rFonts w:ascii="Times New Roman" w:eastAsia="Calibri" w:hAnsi="Times New Roman" w:cs="Times New Roman"/>
          <w:b/>
          <w:color w:val="365F91"/>
          <w:lang w:eastAsia="en-US"/>
        </w:rPr>
        <w:t>тежки материални лишения</w:t>
      </w:r>
      <w:r w:rsidRPr="00DC4A4B">
        <w:rPr>
          <w:rFonts w:ascii="Times New Roman" w:hAnsi="Times New Roman" w:cs="Times New Roman"/>
        </w:rPr>
        <w:t xml:space="preserve"> намалява устойчиво през последните години, но остава най-високият в ЕС, със стойност (30.0%), която е четири и половина пъти по-висока от средната за ЕС. Социалната мобилност е относително ниска в страната, като 24.6% от населението (един от най-високите проценти в ЕС) са били изложени на риск от бедност за най-малко </w:t>
      </w:r>
      <w:r>
        <w:rPr>
          <w:rFonts w:ascii="Times New Roman" w:hAnsi="Times New Roman" w:cs="Times New Roman"/>
        </w:rPr>
        <w:t>три</w:t>
      </w:r>
      <w:r w:rsidRPr="00DC4A4B">
        <w:rPr>
          <w:rFonts w:ascii="Times New Roman" w:hAnsi="Times New Roman" w:cs="Times New Roman"/>
        </w:rPr>
        <w:t xml:space="preserve"> от предходните </w:t>
      </w:r>
      <w:r>
        <w:rPr>
          <w:rFonts w:ascii="Times New Roman" w:hAnsi="Times New Roman" w:cs="Times New Roman"/>
        </w:rPr>
        <w:t>четири</w:t>
      </w:r>
      <w:r w:rsidRPr="00DC4A4B">
        <w:rPr>
          <w:rFonts w:ascii="Times New Roman" w:hAnsi="Times New Roman" w:cs="Times New Roman"/>
        </w:rPr>
        <w:t xml:space="preserve"> години. Това показва, че е трудно да се излезе от бедността, дължаща се на </w:t>
      </w:r>
      <w:r w:rsidRPr="00DC4A4B">
        <w:rPr>
          <w:rFonts w:ascii="Times New Roman" w:hAnsi="Times New Roman" w:cs="Times New Roman"/>
        </w:rPr>
        <w:lastRenderedPageBreak/>
        <w:t>ниски доходи. Въпреки формирана тенденция на трайно подобряване през последните години, голям процент от населението продължава да страда от изключително лоши жилищни условия – през 2017 г. това се отнася за всяко десето лице (при средна стойност за ЕС от 4.8%).</w:t>
      </w:r>
    </w:p>
    <w:p w:rsidR="00AE0F90" w:rsidRPr="00DC4A4B" w:rsidRDefault="00AE0F90" w:rsidP="00AE0F90">
      <w:pPr>
        <w:pStyle w:val="ListParagraph"/>
        <w:spacing w:line="269" w:lineRule="auto"/>
        <w:ind w:left="0" w:firstLine="0"/>
        <w:contextualSpacing w:val="0"/>
        <w:jc w:val="both"/>
        <w:rPr>
          <w:rFonts w:ascii="Times New Roman" w:hAnsi="Times New Roman" w:cs="Times New Roman"/>
        </w:rPr>
      </w:pPr>
      <w:r w:rsidRPr="00DC4A4B">
        <w:rPr>
          <w:rFonts w:ascii="Times New Roman" w:hAnsi="Times New Roman" w:cs="Times New Roman"/>
        </w:rPr>
        <w:t xml:space="preserve">Рискът от бедност е значително по-висок в селските райони, особено в слабо населените региони. </w:t>
      </w:r>
      <w:proofErr w:type="spellStart"/>
      <w:r w:rsidRPr="00DC4A4B">
        <w:rPr>
          <w:rFonts w:ascii="Times New Roman" w:hAnsi="Times New Roman" w:cs="Times New Roman"/>
        </w:rPr>
        <w:t>Медианният</w:t>
      </w:r>
      <w:proofErr w:type="spellEnd"/>
      <w:r w:rsidRPr="00DC4A4B">
        <w:rPr>
          <w:rFonts w:ascii="Times New Roman" w:hAnsi="Times New Roman" w:cs="Times New Roman"/>
        </w:rPr>
        <w:t xml:space="preserve"> доход в селските райони като процент от доходите в градските райони (60.0%) изостава съществено от средната стойност в ЕС (82.9%), като единствено в Румъния се наблюдава по-високо неравенство в доходите между селските и градски райони. В районите от Източна България се наблюдава по-висок риск от бедност (Югоизточен – 26.1%, Североизточен – 24.9%), докато разликата в нивата на показателя между иначе най-развития в икономическо отношение район (Югозападен – 21.0%) и най-слабо развития (Северозападен – 21.2%) е минимална.</w:t>
      </w:r>
    </w:p>
    <w:p w:rsidR="00AE0F90" w:rsidRPr="00DC4A4B" w:rsidRDefault="00AE0F90" w:rsidP="00AE0F90">
      <w:pPr>
        <w:pStyle w:val="ListParagraph"/>
        <w:spacing w:line="269" w:lineRule="auto"/>
        <w:ind w:left="0" w:firstLine="0"/>
        <w:contextualSpacing w:val="0"/>
        <w:jc w:val="both"/>
        <w:rPr>
          <w:rFonts w:ascii="Times New Roman" w:hAnsi="Times New Roman" w:cs="Times New Roman"/>
        </w:rPr>
      </w:pPr>
      <w:r w:rsidRPr="00AE4707">
        <w:rPr>
          <w:rFonts w:ascii="Times New Roman" w:eastAsia="Calibri" w:hAnsi="Times New Roman" w:cs="Times New Roman"/>
          <w:b/>
          <w:color w:val="365F91"/>
          <w:lang w:eastAsia="en-US"/>
        </w:rPr>
        <w:t>Неравенството в разпределението на доходите</w:t>
      </w:r>
      <w:r w:rsidRPr="00DC4A4B">
        <w:rPr>
          <w:rFonts w:ascii="Times New Roman" w:hAnsi="Times New Roman" w:cs="Times New Roman"/>
        </w:rPr>
        <w:t xml:space="preserve"> е най-високото в ЕС и се увеличава непрекъснато в последните години. Разликата между доходите на най-бедните и най-богатите 20% от домакинствата е 8.2 пъти, при средно 5.2 пъти в ЕС. Коефициентът на </w:t>
      </w:r>
      <w:proofErr w:type="spellStart"/>
      <w:r w:rsidRPr="00DC4A4B">
        <w:rPr>
          <w:rFonts w:ascii="Times New Roman" w:hAnsi="Times New Roman" w:cs="Times New Roman"/>
        </w:rPr>
        <w:t>Джини</w:t>
      </w:r>
      <w:proofErr w:type="spellEnd"/>
      <w:r w:rsidRPr="00DC4A4B">
        <w:rPr>
          <w:rFonts w:ascii="Times New Roman" w:hAnsi="Times New Roman" w:cs="Times New Roman"/>
        </w:rPr>
        <w:t xml:space="preserve"> достига стойност от 40.2, спрямо 30.8 средна стойност в ЕС. Сред причините за растящото неравенство са ниските разходи за социална закрила, липсата на прогресивност на данъчната система, както и относително ниската ефективност</w:t>
      </w:r>
      <w:r w:rsidRPr="00DC4A4B">
        <w:rPr>
          <w:rStyle w:val="FootnoteReference"/>
          <w:rFonts w:ascii="Times New Roman" w:hAnsi="Times New Roman"/>
        </w:rPr>
        <w:footnoteReference w:id="47"/>
      </w:r>
      <w:r w:rsidRPr="00DC4A4B">
        <w:rPr>
          <w:rFonts w:ascii="Times New Roman" w:hAnsi="Times New Roman" w:cs="Times New Roman"/>
        </w:rPr>
        <w:t xml:space="preserve"> на социалните трансфери за намаляването на бедността и неравенството. Системата на социално подпомагане</w:t>
      </w:r>
      <w:r w:rsidRPr="00DC4A4B">
        <w:rPr>
          <w:rStyle w:val="FootnoteReference"/>
          <w:rFonts w:ascii="Times New Roman" w:hAnsi="Times New Roman"/>
        </w:rPr>
        <w:footnoteReference w:id="48"/>
      </w:r>
      <w:r w:rsidRPr="00DC4A4B">
        <w:rPr>
          <w:rFonts w:ascii="Times New Roman" w:hAnsi="Times New Roman" w:cs="Times New Roman"/>
        </w:rPr>
        <w:t xml:space="preserve"> в България е третата най-неефективна в ЕС</w:t>
      </w:r>
      <w:r w:rsidRPr="00DC4A4B">
        <w:rPr>
          <w:rStyle w:val="FootnoteReference"/>
          <w:rFonts w:ascii="Times New Roman" w:hAnsi="Times New Roman"/>
        </w:rPr>
        <w:footnoteReference w:id="49"/>
      </w:r>
      <w:r w:rsidRPr="00DC4A4B">
        <w:rPr>
          <w:rFonts w:ascii="Times New Roman" w:hAnsi="Times New Roman" w:cs="Times New Roman"/>
        </w:rPr>
        <w:t xml:space="preserve"> по отношение на постигнатите резултати за намаляване на бедността. Необходима е своевременна оценка на системата, насочена към гарантиране на адекватни и устойчиви социални плащания, подобряване на капацитета, планирането и координацията на отговорните институции и развитие на системи за мониторинг и контрол на ефективността и ефикасността на процеса. Неоптималното функциониране на социалните системи като цяло (здравеопазване, образование, социално осигуряване и социално подпомагане) повишава съществено риска от вторична бедност.</w:t>
      </w:r>
    </w:p>
    <w:p w:rsidR="00AE0F90" w:rsidRPr="00DC4A4B" w:rsidRDefault="00AE0F90" w:rsidP="00AE0F90">
      <w:pPr>
        <w:pStyle w:val="ListParagraph"/>
        <w:keepNext/>
        <w:spacing w:line="269" w:lineRule="auto"/>
        <w:ind w:left="0"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t xml:space="preserve">Таблица </w:t>
      </w:r>
      <w:r w:rsidR="00227FC6">
        <w:rPr>
          <w:rFonts w:ascii="Times New Roman" w:hAnsi="Times New Roman" w:cs="Times New Roman"/>
          <w:b/>
          <w:sz w:val="18"/>
          <w:szCs w:val="18"/>
        </w:rPr>
        <w:t xml:space="preserve">5. </w:t>
      </w:r>
      <w:r w:rsidRPr="00DC4A4B">
        <w:rPr>
          <w:rFonts w:ascii="Times New Roman" w:hAnsi="Times New Roman" w:cs="Times New Roman"/>
          <w:b/>
          <w:sz w:val="18"/>
          <w:szCs w:val="18"/>
        </w:rPr>
        <w:t>Показатели, измерващи бедността и разпределението на доходите, 2008-2017 г.</w:t>
      </w:r>
    </w:p>
    <w:tbl>
      <w:tblPr>
        <w:tblW w:w="4518" w:type="pct"/>
        <w:tblInd w:w="108" w:type="dxa"/>
        <w:tblBorders>
          <w:top w:val="double" w:sz="4" w:space="0" w:color="9EC3DE"/>
          <w:left w:val="double" w:sz="4" w:space="0" w:color="9EC3DE"/>
          <w:bottom w:val="double" w:sz="4" w:space="0" w:color="9EC3DE"/>
          <w:right w:val="double" w:sz="4" w:space="0" w:color="9EC3DE"/>
          <w:insideH w:val="double" w:sz="4" w:space="0" w:color="9EC3DE"/>
          <w:insideV w:val="double" w:sz="4" w:space="0" w:color="9EC3DE"/>
        </w:tblBorders>
        <w:tblLayout w:type="fixed"/>
        <w:tblLook w:val="04A0" w:firstRow="1" w:lastRow="0" w:firstColumn="1" w:lastColumn="0" w:noHBand="0" w:noVBand="1"/>
      </w:tblPr>
      <w:tblGrid>
        <w:gridCol w:w="4667"/>
        <w:gridCol w:w="1106"/>
        <w:gridCol w:w="971"/>
        <w:gridCol w:w="969"/>
        <w:gridCol w:w="969"/>
      </w:tblGrid>
      <w:tr w:rsidR="00AE0F90" w:rsidRPr="00DC4A4B" w:rsidTr="00197DD9">
        <w:trPr>
          <w:trHeight w:hRule="exact" w:val="510"/>
        </w:trPr>
        <w:tc>
          <w:tcPr>
            <w:tcW w:w="2688" w:type="pct"/>
            <w:shd w:val="clear" w:color="auto" w:fill="9EC3DE"/>
            <w:noWrap/>
            <w:vAlign w:val="center"/>
          </w:tcPr>
          <w:p w:rsidR="00AE0F90" w:rsidRPr="00DC4A4B" w:rsidRDefault="00AE0F90" w:rsidP="00197DD9">
            <w:pPr>
              <w:jc w:val="center"/>
              <w:rPr>
                <w:rFonts w:ascii="Times New Roman" w:hAnsi="Times New Roman"/>
                <w:b/>
                <w:sz w:val="18"/>
                <w:szCs w:val="18"/>
              </w:rPr>
            </w:pPr>
            <w:r w:rsidRPr="00DC4A4B">
              <w:rPr>
                <w:rFonts w:ascii="Times New Roman" w:hAnsi="Times New Roman"/>
                <w:b/>
                <w:sz w:val="18"/>
                <w:szCs w:val="18"/>
              </w:rPr>
              <w:t>Показател</w:t>
            </w:r>
          </w:p>
        </w:tc>
        <w:tc>
          <w:tcPr>
            <w:tcW w:w="637" w:type="pct"/>
            <w:shd w:val="clear" w:color="auto" w:fill="9EC3DE"/>
            <w:noWrap/>
            <w:vAlign w:val="center"/>
          </w:tcPr>
          <w:p w:rsidR="00AE0F90" w:rsidRPr="00DC4A4B" w:rsidRDefault="00AE0F90" w:rsidP="00197DD9">
            <w:pPr>
              <w:jc w:val="center"/>
              <w:rPr>
                <w:rFonts w:ascii="Times New Roman" w:hAnsi="Times New Roman"/>
                <w:b/>
                <w:sz w:val="18"/>
                <w:szCs w:val="18"/>
              </w:rPr>
            </w:pPr>
            <w:r w:rsidRPr="00DC4A4B">
              <w:rPr>
                <w:rFonts w:ascii="Times New Roman" w:hAnsi="Times New Roman"/>
                <w:b/>
                <w:sz w:val="18"/>
                <w:szCs w:val="18"/>
              </w:rPr>
              <w:t>2008</w:t>
            </w:r>
          </w:p>
        </w:tc>
        <w:tc>
          <w:tcPr>
            <w:tcW w:w="559" w:type="pct"/>
            <w:shd w:val="clear" w:color="auto" w:fill="9EC3DE"/>
            <w:noWrap/>
            <w:vAlign w:val="center"/>
          </w:tcPr>
          <w:p w:rsidR="00AE0F90" w:rsidRPr="00DC4A4B" w:rsidRDefault="00AE0F90" w:rsidP="00197DD9">
            <w:pPr>
              <w:jc w:val="center"/>
              <w:rPr>
                <w:rFonts w:ascii="Times New Roman" w:hAnsi="Times New Roman"/>
                <w:b/>
                <w:bCs/>
                <w:sz w:val="18"/>
                <w:szCs w:val="18"/>
              </w:rPr>
            </w:pPr>
            <w:r w:rsidRPr="00DC4A4B">
              <w:rPr>
                <w:rFonts w:ascii="Times New Roman" w:hAnsi="Times New Roman"/>
                <w:b/>
                <w:bCs/>
                <w:sz w:val="18"/>
                <w:szCs w:val="18"/>
              </w:rPr>
              <w:t>2011</w:t>
            </w:r>
          </w:p>
        </w:tc>
        <w:tc>
          <w:tcPr>
            <w:tcW w:w="558" w:type="pct"/>
            <w:shd w:val="clear" w:color="auto" w:fill="9EC3DE"/>
            <w:noWrap/>
            <w:vAlign w:val="center"/>
          </w:tcPr>
          <w:p w:rsidR="00AE0F90" w:rsidRPr="00DC4A4B" w:rsidRDefault="00AE0F90" w:rsidP="00197DD9">
            <w:pPr>
              <w:jc w:val="center"/>
              <w:rPr>
                <w:rFonts w:ascii="Times New Roman" w:hAnsi="Times New Roman"/>
                <w:b/>
                <w:sz w:val="18"/>
                <w:szCs w:val="18"/>
              </w:rPr>
            </w:pPr>
            <w:r w:rsidRPr="00DC4A4B">
              <w:rPr>
                <w:rFonts w:ascii="Times New Roman" w:hAnsi="Times New Roman"/>
                <w:b/>
                <w:sz w:val="18"/>
                <w:szCs w:val="18"/>
              </w:rPr>
              <w:t>2014</w:t>
            </w:r>
          </w:p>
        </w:tc>
        <w:tc>
          <w:tcPr>
            <w:tcW w:w="558" w:type="pct"/>
            <w:shd w:val="clear" w:color="auto" w:fill="9EC3DE"/>
            <w:noWrap/>
            <w:vAlign w:val="center"/>
          </w:tcPr>
          <w:p w:rsidR="00AE0F90" w:rsidRPr="00DC4A4B" w:rsidRDefault="00AE0F90" w:rsidP="00197DD9">
            <w:pPr>
              <w:jc w:val="center"/>
              <w:rPr>
                <w:rFonts w:ascii="Times New Roman" w:hAnsi="Times New Roman"/>
                <w:b/>
                <w:sz w:val="18"/>
                <w:szCs w:val="18"/>
              </w:rPr>
            </w:pPr>
            <w:r w:rsidRPr="00DC4A4B">
              <w:rPr>
                <w:rFonts w:ascii="Times New Roman" w:hAnsi="Times New Roman"/>
                <w:b/>
                <w:sz w:val="18"/>
                <w:szCs w:val="18"/>
              </w:rPr>
              <w:t>2017</w:t>
            </w:r>
          </w:p>
        </w:tc>
      </w:tr>
      <w:tr w:rsidR="00AE0F90" w:rsidRPr="00DC4A4B" w:rsidTr="00197DD9">
        <w:trPr>
          <w:trHeight w:hRule="exact" w:val="510"/>
        </w:trPr>
        <w:tc>
          <w:tcPr>
            <w:tcW w:w="2688" w:type="pct"/>
            <w:shd w:val="clear" w:color="auto" w:fill="auto"/>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Население в риск от бедност</w:t>
            </w:r>
          </w:p>
        </w:tc>
        <w:tc>
          <w:tcPr>
            <w:tcW w:w="637"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21.4</w:t>
            </w:r>
          </w:p>
        </w:tc>
        <w:tc>
          <w:tcPr>
            <w:tcW w:w="559"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22.2</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21.8</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lang w:val="en-GB"/>
              </w:rPr>
            </w:pPr>
            <w:r w:rsidRPr="00DC4A4B">
              <w:rPr>
                <w:rFonts w:ascii="Times New Roman" w:hAnsi="Times New Roman"/>
                <w:color w:val="000000"/>
                <w:sz w:val="18"/>
                <w:szCs w:val="18"/>
                <w:lang w:val="en-GB"/>
              </w:rPr>
              <w:t>23</w:t>
            </w:r>
            <w:r w:rsidRPr="00DC4A4B">
              <w:rPr>
                <w:rFonts w:ascii="Times New Roman" w:hAnsi="Times New Roman"/>
                <w:color w:val="000000"/>
                <w:sz w:val="18"/>
                <w:szCs w:val="18"/>
              </w:rPr>
              <w:t>.</w:t>
            </w:r>
            <w:r w:rsidRPr="00DC4A4B">
              <w:rPr>
                <w:rFonts w:ascii="Times New Roman" w:hAnsi="Times New Roman"/>
                <w:color w:val="000000"/>
                <w:sz w:val="18"/>
                <w:szCs w:val="18"/>
                <w:lang w:val="en-GB"/>
              </w:rPr>
              <w:t>4</w:t>
            </w:r>
          </w:p>
        </w:tc>
      </w:tr>
      <w:tr w:rsidR="00AE0F90" w:rsidRPr="00DC4A4B" w:rsidTr="00197DD9">
        <w:trPr>
          <w:trHeight w:hRule="exact" w:val="510"/>
        </w:trPr>
        <w:tc>
          <w:tcPr>
            <w:tcW w:w="2688" w:type="pct"/>
            <w:shd w:val="clear" w:color="auto" w:fill="auto"/>
            <w:noWrap/>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Население в риск от бедност преди социалните трансфери</w:t>
            </w:r>
          </w:p>
        </w:tc>
        <w:tc>
          <w:tcPr>
            <w:tcW w:w="637"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40.0</w:t>
            </w:r>
          </w:p>
        </w:tc>
        <w:tc>
          <w:tcPr>
            <w:tcW w:w="559"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41.7</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46.2</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44.8</w:t>
            </w:r>
          </w:p>
        </w:tc>
      </w:tr>
      <w:tr w:rsidR="00AE0F90" w:rsidRPr="00DC4A4B" w:rsidTr="00197DD9">
        <w:trPr>
          <w:trHeight w:hRule="exact" w:val="510"/>
        </w:trPr>
        <w:tc>
          <w:tcPr>
            <w:tcW w:w="2688" w:type="pct"/>
            <w:shd w:val="clear" w:color="auto" w:fill="auto"/>
            <w:noWrap/>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Население в риск от бедност преди социалните трансфери с включени пенсии</w:t>
            </w:r>
          </w:p>
        </w:tc>
        <w:tc>
          <w:tcPr>
            <w:tcW w:w="637" w:type="pct"/>
            <w:shd w:val="clear" w:color="auto" w:fill="auto"/>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27.1</w:t>
            </w:r>
          </w:p>
        </w:tc>
        <w:tc>
          <w:tcPr>
            <w:tcW w:w="559"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27.4</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27.3</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29.2</w:t>
            </w:r>
          </w:p>
        </w:tc>
      </w:tr>
      <w:tr w:rsidR="00AE0F90" w:rsidRPr="00DC4A4B" w:rsidTr="00197DD9">
        <w:trPr>
          <w:trHeight w:hRule="exact" w:val="510"/>
        </w:trPr>
        <w:tc>
          <w:tcPr>
            <w:tcW w:w="2688" w:type="pct"/>
            <w:shd w:val="clear" w:color="auto" w:fill="auto"/>
            <w:noWrap/>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Население, изпитващо тежки материални лишения</w:t>
            </w:r>
          </w:p>
        </w:tc>
        <w:tc>
          <w:tcPr>
            <w:tcW w:w="637" w:type="pct"/>
            <w:shd w:val="clear" w:color="auto" w:fill="auto"/>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41.2</w:t>
            </w:r>
          </w:p>
        </w:tc>
        <w:tc>
          <w:tcPr>
            <w:tcW w:w="559"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43.6</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33.1</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30.0</w:t>
            </w:r>
          </w:p>
        </w:tc>
      </w:tr>
      <w:tr w:rsidR="00AE0F90" w:rsidRPr="00DC4A4B" w:rsidTr="00197DD9">
        <w:trPr>
          <w:trHeight w:hRule="exact" w:val="510"/>
        </w:trPr>
        <w:tc>
          <w:tcPr>
            <w:tcW w:w="2688" w:type="pct"/>
            <w:shd w:val="clear" w:color="auto" w:fill="auto"/>
            <w:noWrap/>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Население в риск от бедност или социално изключване</w:t>
            </w:r>
          </w:p>
        </w:tc>
        <w:tc>
          <w:tcPr>
            <w:tcW w:w="637"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44.8</w:t>
            </w:r>
          </w:p>
        </w:tc>
        <w:tc>
          <w:tcPr>
            <w:tcW w:w="559"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49.1</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40.1</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38.9</w:t>
            </w:r>
          </w:p>
        </w:tc>
      </w:tr>
      <w:tr w:rsidR="00AE0F90" w:rsidRPr="00DC4A4B" w:rsidTr="00197DD9">
        <w:trPr>
          <w:trHeight w:hRule="exact" w:val="510"/>
        </w:trPr>
        <w:tc>
          <w:tcPr>
            <w:tcW w:w="2688" w:type="pct"/>
            <w:shd w:val="clear" w:color="auto" w:fill="auto"/>
            <w:noWrap/>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Отношение между доходите на най-бедните и най-богатите 20% от домакинствата</w:t>
            </w:r>
          </w:p>
        </w:tc>
        <w:tc>
          <w:tcPr>
            <w:tcW w:w="637"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6.5</w:t>
            </w:r>
          </w:p>
        </w:tc>
        <w:tc>
          <w:tcPr>
            <w:tcW w:w="559"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6.5</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6.8</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8.2</w:t>
            </w:r>
          </w:p>
        </w:tc>
      </w:tr>
      <w:tr w:rsidR="00AE0F90" w:rsidRPr="00DC4A4B" w:rsidTr="00197DD9">
        <w:trPr>
          <w:trHeight w:hRule="exact" w:val="510"/>
        </w:trPr>
        <w:tc>
          <w:tcPr>
            <w:tcW w:w="2688" w:type="pct"/>
            <w:shd w:val="clear" w:color="auto" w:fill="auto"/>
            <w:noWrap/>
            <w:vAlign w:val="center"/>
          </w:tcPr>
          <w:p w:rsidR="00AE0F90" w:rsidRPr="00DC4A4B" w:rsidRDefault="00AE0F90" w:rsidP="00197DD9">
            <w:pPr>
              <w:rPr>
                <w:rFonts w:ascii="Times New Roman" w:hAnsi="Times New Roman"/>
                <w:color w:val="000000"/>
                <w:sz w:val="18"/>
                <w:szCs w:val="18"/>
              </w:rPr>
            </w:pPr>
            <w:r w:rsidRPr="00DC4A4B">
              <w:rPr>
                <w:rFonts w:ascii="Times New Roman" w:hAnsi="Times New Roman"/>
                <w:color w:val="000000"/>
                <w:sz w:val="18"/>
                <w:szCs w:val="18"/>
              </w:rPr>
              <w:t xml:space="preserve">Коефициент на </w:t>
            </w:r>
            <w:proofErr w:type="spellStart"/>
            <w:r w:rsidRPr="00DC4A4B">
              <w:rPr>
                <w:rFonts w:ascii="Times New Roman" w:hAnsi="Times New Roman"/>
                <w:color w:val="000000"/>
                <w:sz w:val="18"/>
                <w:szCs w:val="18"/>
              </w:rPr>
              <w:t>Джини</w:t>
            </w:r>
            <w:proofErr w:type="spellEnd"/>
          </w:p>
        </w:tc>
        <w:tc>
          <w:tcPr>
            <w:tcW w:w="637"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35.9</w:t>
            </w:r>
          </w:p>
        </w:tc>
        <w:tc>
          <w:tcPr>
            <w:tcW w:w="559"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35.0</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35.4</w:t>
            </w:r>
          </w:p>
        </w:tc>
        <w:tc>
          <w:tcPr>
            <w:tcW w:w="558" w:type="pct"/>
            <w:shd w:val="clear" w:color="auto" w:fill="auto"/>
            <w:noWrap/>
            <w:vAlign w:val="center"/>
          </w:tcPr>
          <w:p w:rsidR="00AE0F90" w:rsidRPr="00DC4A4B" w:rsidRDefault="00AE0F90" w:rsidP="00197DD9">
            <w:pPr>
              <w:jc w:val="right"/>
              <w:rPr>
                <w:rFonts w:ascii="Times New Roman" w:hAnsi="Times New Roman"/>
                <w:color w:val="000000"/>
                <w:sz w:val="18"/>
                <w:szCs w:val="18"/>
              </w:rPr>
            </w:pPr>
            <w:r w:rsidRPr="00DC4A4B">
              <w:rPr>
                <w:rFonts w:ascii="Times New Roman" w:hAnsi="Times New Roman"/>
                <w:color w:val="000000"/>
                <w:sz w:val="18"/>
                <w:szCs w:val="18"/>
              </w:rPr>
              <w:t>40.2</w:t>
            </w:r>
          </w:p>
        </w:tc>
      </w:tr>
    </w:tbl>
    <w:p w:rsidR="00AE0F90" w:rsidRPr="00DC4A4B" w:rsidRDefault="00AE0F90" w:rsidP="00AE0F90">
      <w:pPr>
        <w:pStyle w:val="ListParagraph"/>
        <w:spacing w:line="269" w:lineRule="auto"/>
        <w:ind w:left="0" w:firstLine="0"/>
        <w:contextualSpacing w:val="0"/>
        <w:jc w:val="both"/>
        <w:rPr>
          <w:rFonts w:ascii="Times New Roman" w:hAnsi="Times New Roman" w:cs="Times New Roman"/>
        </w:rPr>
      </w:pPr>
    </w:p>
    <w:p w:rsidR="00AE0F90" w:rsidRPr="00DC4A4B" w:rsidRDefault="00AE0F90" w:rsidP="00AE0F90">
      <w:pPr>
        <w:pStyle w:val="ListParagraph"/>
        <w:spacing w:line="269" w:lineRule="auto"/>
        <w:ind w:left="0" w:firstLine="0"/>
        <w:contextualSpacing w:val="0"/>
        <w:jc w:val="both"/>
        <w:rPr>
          <w:rFonts w:ascii="Times New Roman" w:hAnsi="Times New Roman" w:cs="Times New Roman"/>
        </w:rPr>
      </w:pPr>
      <w:r w:rsidRPr="00DC4A4B">
        <w:rPr>
          <w:rFonts w:ascii="Times New Roman" w:hAnsi="Times New Roman" w:cs="Times New Roman"/>
        </w:rPr>
        <w:t xml:space="preserve">Специфична група от населението, която живее в риск от бедност и социално изключване са </w:t>
      </w:r>
      <w:r w:rsidRPr="00DC4A4B">
        <w:rPr>
          <w:rFonts w:ascii="Times New Roman" w:eastAsia="Calibri" w:hAnsi="Times New Roman" w:cs="Times New Roman"/>
          <w:b/>
          <w:color w:val="365F91"/>
          <w:lang w:eastAsia="en-US"/>
        </w:rPr>
        <w:t>ромите</w:t>
      </w:r>
      <w:r w:rsidRPr="00DC4A4B">
        <w:rPr>
          <w:rFonts w:ascii="Times New Roman" w:hAnsi="Times New Roman" w:cs="Times New Roman"/>
        </w:rPr>
        <w:t xml:space="preserve">. Концентрацията на представителите на тази уязвима етническа група в обособени квартали и райони води до социално изключване, влошаване на жилищните и санитарни условия, проблеми с изграждането и поддръжката на инфраструктурата и трудности при предоставянето на образователни, </w:t>
      </w:r>
      <w:r w:rsidRPr="00DC4A4B">
        <w:rPr>
          <w:rFonts w:ascii="Times New Roman" w:hAnsi="Times New Roman" w:cs="Times New Roman"/>
        </w:rPr>
        <w:lastRenderedPageBreak/>
        <w:t>здравни и социални услуги. Делът на ромите, изложени на риск от бедност или социално изключване, се оценява на близо 90%</w:t>
      </w:r>
      <w:r w:rsidRPr="00DC4A4B">
        <w:rPr>
          <w:rStyle w:val="FootnoteReference"/>
          <w:rFonts w:ascii="Times New Roman" w:hAnsi="Times New Roman"/>
        </w:rPr>
        <w:footnoteReference w:id="50"/>
      </w:r>
      <w:r w:rsidRPr="00DC4A4B">
        <w:rPr>
          <w:rFonts w:ascii="Times New Roman" w:hAnsi="Times New Roman" w:cs="Times New Roman"/>
        </w:rPr>
        <w:t>. Повечето роми са безработни, неактивни или работещи бедни. Две трети от тях нямат завършено средно образование</w:t>
      </w:r>
      <w:r w:rsidRPr="00DC4A4B">
        <w:rPr>
          <w:rStyle w:val="FootnoteReference"/>
          <w:rFonts w:ascii="Times New Roman" w:hAnsi="Times New Roman"/>
        </w:rPr>
        <w:footnoteReference w:id="51"/>
      </w:r>
      <w:r w:rsidRPr="00DC4A4B">
        <w:rPr>
          <w:rFonts w:ascii="Times New Roman" w:hAnsi="Times New Roman" w:cs="Times New Roman"/>
        </w:rPr>
        <w:t>. Около 7% от ромските деца на възраст между 7 и 15 години остават извън образователната система и много деца не са записани в детски градини</w:t>
      </w:r>
      <w:r w:rsidRPr="00DC4A4B">
        <w:rPr>
          <w:rFonts w:ascii="Times New Roman" w:eastAsia="Calibri" w:hAnsi="Times New Roman" w:cs="Times New Roman"/>
          <w:vertAlign w:val="superscript"/>
          <w:lang w:eastAsia="en-US"/>
        </w:rPr>
        <w:footnoteReference w:id="52"/>
      </w:r>
      <w:r w:rsidRPr="00DC4A4B">
        <w:rPr>
          <w:rFonts w:ascii="Times New Roman" w:hAnsi="Times New Roman" w:cs="Times New Roman"/>
        </w:rPr>
        <w:t xml:space="preserve">. Създаването на механизми и условия за активно включване на ромите в икономическия и социален живот на страната е ключова предпоставка за предотвратяване мултиплицирането на модела за социално изключване и още по-засилено социално капсулиране. Доколкото проблемите пред социално-икономическата интеграция на </w:t>
      </w:r>
      <w:proofErr w:type="spellStart"/>
      <w:r w:rsidRPr="00DC4A4B">
        <w:rPr>
          <w:rFonts w:ascii="Times New Roman" w:hAnsi="Times New Roman" w:cs="Times New Roman"/>
        </w:rPr>
        <w:t>маргинализираните</w:t>
      </w:r>
      <w:proofErr w:type="spellEnd"/>
      <w:r w:rsidRPr="00DC4A4B">
        <w:rPr>
          <w:rFonts w:ascii="Times New Roman" w:hAnsi="Times New Roman" w:cs="Times New Roman"/>
        </w:rPr>
        <w:t xml:space="preserve"> общности като ромите имат комплексен характер, следва да се прилага интегриран подход, съчетаващ интервенции за подобряване достъпа до образование и заетост, до социални и здравни услуги, както и осигуряване на нормални жилищни условия.</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Правителствените разходи за социална защита възлизат на едва 12.4% от БВП средно за последните десет години (при средно ниво от 18.9% от БВП средно за общността), което определя на страната 26-то</w:t>
      </w:r>
      <w:r>
        <w:rPr>
          <w:rStyle w:val="FootnoteReference"/>
          <w:rFonts w:ascii="Times New Roman" w:hAnsi="Times New Roman"/>
        </w:rPr>
        <w:footnoteReference w:id="53"/>
      </w:r>
      <w:r>
        <w:rPr>
          <w:rFonts w:ascii="Times New Roman" w:hAnsi="Times New Roman" w:cs="Times New Roman"/>
        </w:rPr>
        <w:t xml:space="preserve"> място в ЕС. </w:t>
      </w:r>
      <w:r w:rsidRPr="00AE4707">
        <w:rPr>
          <w:rFonts w:ascii="Times New Roman" w:eastAsia="Calibri" w:hAnsi="Times New Roman" w:cs="Times New Roman"/>
          <w:b/>
          <w:color w:val="365F91"/>
          <w:lang w:eastAsia="en-US"/>
        </w:rPr>
        <w:t>Достъпът до социални услуги</w:t>
      </w:r>
      <w:r w:rsidRPr="00DC4A4B">
        <w:rPr>
          <w:rFonts w:ascii="Times New Roman" w:hAnsi="Times New Roman" w:cs="Times New Roman"/>
        </w:rPr>
        <w:t xml:space="preserve"> се характеризира с големи различия между селските и градските райони и остава предизвикателство за най-уязвимите работници. Самонаетите лица и сезонните работници нямат достъп до закрила при безработица. Всеки десети нает е изложен на риск да не получи право на обезщетения за болест или обезщетения за безработица, като особено тревожно е положението на работниците, заети в домашно или </w:t>
      </w:r>
      <w:proofErr w:type="spellStart"/>
      <w:r w:rsidRPr="00DC4A4B">
        <w:rPr>
          <w:rFonts w:ascii="Times New Roman" w:hAnsi="Times New Roman" w:cs="Times New Roman"/>
        </w:rPr>
        <w:t>полупазарно</w:t>
      </w:r>
      <w:proofErr w:type="spellEnd"/>
      <w:r w:rsidRPr="00DC4A4B">
        <w:rPr>
          <w:rFonts w:ascii="Times New Roman" w:hAnsi="Times New Roman" w:cs="Times New Roman"/>
        </w:rPr>
        <w:t xml:space="preserve"> земеделие</w:t>
      </w:r>
      <w:r w:rsidRPr="00DC4A4B">
        <w:rPr>
          <w:rStyle w:val="FootnoteReference"/>
          <w:rFonts w:ascii="Times New Roman" w:hAnsi="Times New Roman"/>
        </w:rPr>
        <w:footnoteReference w:id="54"/>
      </w:r>
      <w:r w:rsidRPr="00DC4A4B">
        <w:rPr>
          <w:rFonts w:ascii="Times New Roman" w:hAnsi="Times New Roman" w:cs="Times New Roman"/>
        </w:rPr>
        <w:t>. Според ЕК, обхватът и адекватността на социалните обезщетения остават ниски. През 2016 г. месечните социални помощи и надбавките за отопление обхващат съответно 3% и 6% от пълнолетното население. Въпреки увеличаването на гарантираният минимален доход през 2018 г., той все още е сред най-недостатъчните в ЕС и значително под прага на риска от изпадане в бедност. Същото до голяма степен се отнася и за обхвата и продължителността на обезщетенията за безработица</w:t>
      </w:r>
      <w:r w:rsidRPr="00DC4A4B">
        <w:rPr>
          <w:rStyle w:val="FootnoteReference"/>
          <w:rFonts w:ascii="Times New Roman" w:hAnsi="Times New Roman"/>
        </w:rPr>
        <w:footnoteReference w:id="55"/>
      </w:r>
      <w:r w:rsidRPr="00DC4A4B">
        <w:rPr>
          <w:rFonts w:ascii="Times New Roman" w:hAnsi="Times New Roman" w:cs="Times New Roman"/>
        </w:rPr>
        <w:t>.</w:t>
      </w:r>
    </w:p>
    <w:p w:rsidR="00AE0F90" w:rsidRPr="00F203B6" w:rsidRDefault="00AE0F90" w:rsidP="00AE0F90">
      <w:pPr>
        <w:pStyle w:val="Heading2"/>
        <w:numPr>
          <w:ilvl w:val="1"/>
          <w:numId w:val="16"/>
        </w:numPr>
        <w:rPr>
          <w:color w:val="1F497D"/>
        </w:rPr>
      </w:pPr>
      <w:bookmarkStart w:id="21" w:name="_Toc791810"/>
      <w:r>
        <w:rPr>
          <w:color w:val="1F497D"/>
        </w:rPr>
        <w:t>Икономика на знанието</w:t>
      </w:r>
      <w:bookmarkEnd w:id="21"/>
    </w:p>
    <w:p w:rsidR="00AE0F90" w:rsidRPr="00DB5EFA" w:rsidRDefault="00AE0F90" w:rsidP="00AE0F90">
      <w:pPr>
        <w:pStyle w:val="Heading3"/>
        <w:numPr>
          <w:ilvl w:val="2"/>
          <w:numId w:val="16"/>
        </w:numPr>
        <w:rPr>
          <w:color w:val="1F497D"/>
        </w:rPr>
      </w:pPr>
      <w:bookmarkStart w:id="22" w:name="_Toc525196969"/>
      <w:bookmarkStart w:id="23" w:name="_Toc791811"/>
      <w:r w:rsidRPr="00DB5EFA">
        <w:rPr>
          <w:color w:val="1F497D"/>
        </w:rPr>
        <w:t>НИРД и иновации</w:t>
      </w:r>
      <w:bookmarkEnd w:id="22"/>
      <w:bookmarkEnd w:id="23"/>
    </w:p>
    <w:p w:rsidR="00AE0F90" w:rsidRDefault="00AE0F90" w:rsidP="00AE0F90">
      <w:pPr>
        <w:pStyle w:val="ListParagraph"/>
        <w:spacing w:line="269" w:lineRule="auto"/>
        <w:ind w:left="0" w:firstLine="0"/>
        <w:contextualSpacing w:val="0"/>
        <w:jc w:val="both"/>
        <w:rPr>
          <w:rFonts w:ascii="Times New Roman" w:hAnsi="Times New Roman" w:cs="Times New Roman"/>
          <w:i/>
        </w:rPr>
      </w:pPr>
      <w:r>
        <w:rPr>
          <w:rFonts w:ascii="Times New Roman" w:hAnsi="Times New Roman" w:cs="Times New Roman"/>
          <w:i/>
        </w:rPr>
        <w:t>И</w:t>
      </w:r>
      <w:r w:rsidRPr="007E00DA">
        <w:rPr>
          <w:rFonts w:ascii="Times New Roman" w:hAnsi="Times New Roman" w:cs="Times New Roman"/>
          <w:i/>
        </w:rPr>
        <w:t xml:space="preserve">кономическият растеж </w:t>
      </w:r>
      <w:r>
        <w:rPr>
          <w:rFonts w:ascii="Times New Roman" w:hAnsi="Times New Roman" w:cs="Times New Roman"/>
          <w:i/>
        </w:rPr>
        <w:t xml:space="preserve">все повече </w:t>
      </w:r>
      <w:r w:rsidRPr="007E00DA">
        <w:rPr>
          <w:rFonts w:ascii="Times New Roman" w:hAnsi="Times New Roman" w:cs="Times New Roman"/>
          <w:i/>
        </w:rPr>
        <w:t xml:space="preserve">зависи от </w:t>
      </w:r>
      <w:r>
        <w:rPr>
          <w:rFonts w:ascii="Times New Roman" w:hAnsi="Times New Roman" w:cs="Times New Roman"/>
          <w:i/>
        </w:rPr>
        <w:t>степента на използване на</w:t>
      </w:r>
      <w:r w:rsidRPr="007E00DA">
        <w:rPr>
          <w:rFonts w:ascii="Times New Roman" w:hAnsi="Times New Roman" w:cs="Times New Roman"/>
          <w:i/>
        </w:rPr>
        <w:t xml:space="preserve"> двигателите за конкурентоспособност – иновациите, продуктите с висока добавена стойност и регионалната специализация</w:t>
      </w:r>
      <w:r>
        <w:rPr>
          <w:rFonts w:ascii="Times New Roman" w:hAnsi="Times New Roman" w:cs="Times New Roman"/>
          <w:i/>
        </w:rPr>
        <w:t>.</w:t>
      </w:r>
      <w:r w:rsidRPr="00A82193">
        <w:rPr>
          <w:rFonts w:ascii="Times New Roman" w:hAnsi="Times New Roman" w:cs="Times New Roman"/>
          <w:i/>
        </w:rPr>
        <w:t xml:space="preserve"> </w:t>
      </w:r>
      <w:r>
        <w:rPr>
          <w:rFonts w:ascii="Times New Roman" w:hAnsi="Times New Roman" w:cs="Times New Roman"/>
          <w:i/>
        </w:rPr>
        <w:t>Въпреки отбелязаното подобрение в к</w:t>
      </w:r>
      <w:r w:rsidRPr="00CC3FC7">
        <w:rPr>
          <w:rFonts w:ascii="Times New Roman" w:hAnsi="Times New Roman" w:cs="Times New Roman"/>
          <w:i/>
        </w:rPr>
        <w:t>апацитет</w:t>
      </w:r>
      <w:r>
        <w:rPr>
          <w:rFonts w:ascii="Times New Roman" w:hAnsi="Times New Roman" w:cs="Times New Roman"/>
          <w:i/>
        </w:rPr>
        <w:t>а</w:t>
      </w:r>
      <w:r w:rsidRPr="00CC3FC7">
        <w:rPr>
          <w:rFonts w:ascii="Times New Roman" w:hAnsi="Times New Roman" w:cs="Times New Roman"/>
          <w:i/>
        </w:rPr>
        <w:t xml:space="preserve"> за иновации на </w:t>
      </w:r>
      <w:r>
        <w:rPr>
          <w:rFonts w:ascii="Times New Roman" w:hAnsi="Times New Roman" w:cs="Times New Roman"/>
          <w:i/>
        </w:rPr>
        <w:t>частния сектор в</w:t>
      </w:r>
      <w:r w:rsidRPr="00CC3FC7">
        <w:rPr>
          <w:rFonts w:ascii="Times New Roman" w:hAnsi="Times New Roman" w:cs="Times New Roman"/>
          <w:i/>
        </w:rPr>
        <w:t xml:space="preserve"> последните години</w:t>
      </w:r>
      <w:r>
        <w:rPr>
          <w:rFonts w:ascii="Times New Roman" w:hAnsi="Times New Roman" w:cs="Times New Roman"/>
          <w:i/>
        </w:rPr>
        <w:t>, и</w:t>
      </w:r>
      <w:r w:rsidRPr="007E00DA">
        <w:rPr>
          <w:rFonts w:ascii="Times New Roman" w:hAnsi="Times New Roman" w:cs="Times New Roman"/>
          <w:i/>
        </w:rPr>
        <w:t>новационната система на страната работи под потенциала си</w:t>
      </w:r>
      <w:r>
        <w:rPr>
          <w:rFonts w:ascii="Times New Roman" w:hAnsi="Times New Roman" w:cs="Times New Roman"/>
          <w:i/>
        </w:rPr>
        <w:t>, с всички произтичащи от това негативни последици по отношение на стремежа за изграждане на икономика, базирана на знанието.</w:t>
      </w:r>
      <w:r w:rsidRPr="00963A8E">
        <w:rPr>
          <w:rFonts w:ascii="Times New Roman" w:hAnsi="Times New Roman" w:cs="Times New Roman"/>
          <w:i/>
        </w:rPr>
        <w:t xml:space="preserve"> Секторът на НИРД в България е изправен пред някои сериозни предизвикателства, които изискват </w:t>
      </w:r>
      <w:r>
        <w:rPr>
          <w:rFonts w:ascii="Times New Roman" w:hAnsi="Times New Roman" w:cs="Times New Roman"/>
          <w:i/>
        </w:rPr>
        <w:t>промяна в политиката</w:t>
      </w:r>
      <w:r w:rsidRPr="00963A8E">
        <w:rPr>
          <w:rFonts w:ascii="Times New Roman" w:hAnsi="Times New Roman" w:cs="Times New Roman"/>
          <w:i/>
        </w:rPr>
        <w:t xml:space="preserve">. Системата е слаба главно поради значителното </w:t>
      </w:r>
      <w:proofErr w:type="spellStart"/>
      <w:r w:rsidRPr="00963A8E">
        <w:rPr>
          <w:rFonts w:ascii="Times New Roman" w:hAnsi="Times New Roman" w:cs="Times New Roman"/>
          <w:i/>
        </w:rPr>
        <w:t>недофинансиране</w:t>
      </w:r>
      <w:proofErr w:type="spellEnd"/>
      <w:r w:rsidRPr="00963A8E">
        <w:rPr>
          <w:rFonts w:ascii="Times New Roman" w:hAnsi="Times New Roman" w:cs="Times New Roman"/>
          <w:i/>
        </w:rPr>
        <w:t xml:space="preserve">, </w:t>
      </w:r>
      <w:r w:rsidR="00AA3CB5" w:rsidRPr="00AA3CB5">
        <w:rPr>
          <w:rFonts w:ascii="Times New Roman" w:hAnsi="Times New Roman" w:cs="Times New Roman"/>
          <w:i/>
        </w:rPr>
        <w:t>неефективното  взаимодействие между бизнеса и научната сфера</w:t>
      </w:r>
      <w:r w:rsidR="00AA3CB5">
        <w:rPr>
          <w:rFonts w:ascii="Times New Roman" w:hAnsi="Times New Roman" w:cs="Times New Roman"/>
          <w:i/>
        </w:rPr>
        <w:t xml:space="preserve">, </w:t>
      </w:r>
      <w:r w:rsidRPr="00963A8E">
        <w:rPr>
          <w:rFonts w:ascii="Times New Roman" w:hAnsi="Times New Roman" w:cs="Times New Roman"/>
          <w:i/>
        </w:rPr>
        <w:t>недостатъците в системата на висшето образование</w:t>
      </w:r>
      <w:r>
        <w:rPr>
          <w:rFonts w:ascii="Times New Roman" w:hAnsi="Times New Roman" w:cs="Times New Roman"/>
          <w:i/>
        </w:rPr>
        <w:t>,</w:t>
      </w:r>
      <w:r w:rsidRPr="00963A8E">
        <w:rPr>
          <w:rFonts w:ascii="Times New Roman" w:hAnsi="Times New Roman" w:cs="Times New Roman"/>
          <w:i/>
        </w:rPr>
        <w:t xml:space="preserve"> недостатъчния </w:t>
      </w:r>
      <w:r w:rsidR="00AA3CB5">
        <w:rPr>
          <w:rFonts w:ascii="Times New Roman" w:hAnsi="Times New Roman" w:cs="Times New Roman"/>
          <w:i/>
        </w:rPr>
        <w:t xml:space="preserve">приложен </w:t>
      </w:r>
      <w:r w:rsidRPr="00963A8E">
        <w:rPr>
          <w:rFonts w:ascii="Times New Roman" w:hAnsi="Times New Roman" w:cs="Times New Roman"/>
          <w:i/>
        </w:rPr>
        <w:t>изследователски капацитет</w:t>
      </w:r>
      <w:r>
        <w:rPr>
          <w:rFonts w:ascii="Times New Roman" w:hAnsi="Times New Roman" w:cs="Times New Roman"/>
          <w:i/>
        </w:rPr>
        <w:t xml:space="preserve"> и липсата </w:t>
      </w:r>
      <w:r w:rsidRPr="00CC3FC7">
        <w:rPr>
          <w:rFonts w:ascii="Times New Roman" w:hAnsi="Times New Roman" w:cs="Times New Roman"/>
          <w:i/>
        </w:rPr>
        <w:t>на достатъчно модерни инфраструктури, които да отговарят на съвременните изисквания</w:t>
      </w:r>
      <w:r w:rsidRPr="00963A8E">
        <w:rPr>
          <w:rFonts w:ascii="Times New Roman" w:hAnsi="Times New Roman" w:cs="Times New Roman"/>
          <w:i/>
        </w:rPr>
        <w:t>. Тези фактори влияят върху качеството и приложимостта на предприетите изследвания и способността да се конкурират в науката на европейско и световно равнище.</w:t>
      </w:r>
      <w:r w:rsidRPr="007E00DA">
        <w:rPr>
          <w:rFonts w:ascii="Times New Roman" w:hAnsi="Times New Roman" w:cs="Times New Roman"/>
          <w:i/>
        </w:rPr>
        <w:t xml:space="preserve"> </w:t>
      </w:r>
      <w:r>
        <w:rPr>
          <w:rFonts w:ascii="Times New Roman" w:hAnsi="Times New Roman" w:cs="Times New Roman"/>
          <w:i/>
        </w:rPr>
        <w:t>Въпреки някои позитивни развития</w:t>
      </w:r>
      <w:r w:rsidRPr="003D021B">
        <w:rPr>
          <w:rFonts w:ascii="Times New Roman" w:hAnsi="Times New Roman" w:cs="Times New Roman"/>
          <w:i/>
        </w:rPr>
        <w:t xml:space="preserve"> по отношение на човешките ресурси, ангажирани с научни изследвания, </w:t>
      </w:r>
      <w:r w:rsidRPr="00E71661">
        <w:rPr>
          <w:rFonts w:ascii="Times New Roman" w:hAnsi="Times New Roman" w:cs="Times New Roman"/>
          <w:i/>
        </w:rPr>
        <w:t xml:space="preserve">нормалното функциониране на сектора изисква удвояване на заетия персонал и допълнително оптимизиране на структурата му, в посока увеличаване на присъствието на частния сектор и </w:t>
      </w:r>
      <w:r>
        <w:rPr>
          <w:rFonts w:ascii="Times New Roman" w:hAnsi="Times New Roman" w:cs="Times New Roman"/>
          <w:i/>
        </w:rPr>
        <w:t xml:space="preserve">особено на </w:t>
      </w:r>
      <w:r w:rsidRPr="00E71661">
        <w:rPr>
          <w:rFonts w:ascii="Times New Roman" w:hAnsi="Times New Roman" w:cs="Times New Roman"/>
          <w:i/>
        </w:rPr>
        <w:t>университетите</w:t>
      </w:r>
      <w:r>
        <w:rPr>
          <w:rFonts w:ascii="Times New Roman" w:hAnsi="Times New Roman" w:cs="Times New Roman"/>
          <w:i/>
        </w:rPr>
        <w:t xml:space="preserve">. Последните трябва да бъдат адекватно стимулирани за </w:t>
      </w:r>
      <w:r>
        <w:rPr>
          <w:rFonts w:ascii="Times New Roman" w:hAnsi="Times New Roman" w:cs="Times New Roman"/>
          <w:i/>
        </w:rPr>
        <w:lastRenderedPageBreak/>
        <w:t xml:space="preserve">участието им в научноизследователска и иновационна дейност, което по всяка вероятност ще изисква консолидиране на сектора. </w:t>
      </w:r>
      <w:r w:rsidRPr="00A82193">
        <w:rPr>
          <w:rFonts w:ascii="Times New Roman" w:hAnsi="Times New Roman" w:cs="Times New Roman"/>
          <w:i/>
        </w:rPr>
        <w:t>Съществува силна необходимост от по-нататъшно подпомагане на интеграцията и европеизацията на българската наука,</w:t>
      </w:r>
      <w:r>
        <w:rPr>
          <w:rFonts w:ascii="Times New Roman" w:hAnsi="Times New Roman" w:cs="Times New Roman"/>
          <w:i/>
        </w:rPr>
        <w:t xml:space="preserve"> научни изследвания и иновации.</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К</w:t>
      </w:r>
      <w:r w:rsidRPr="00DC4A4B">
        <w:rPr>
          <w:rFonts w:ascii="Times New Roman" w:hAnsi="Times New Roman" w:cs="Times New Roman"/>
        </w:rPr>
        <w:t>апацитетът за иновации на българските компании се подобр</w:t>
      </w:r>
      <w:r>
        <w:rPr>
          <w:rFonts w:ascii="Times New Roman" w:hAnsi="Times New Roman" w:cs="Times New Roman"/>
        </w:rPr>
        <w:t xml:space="preserve">ява през последните години, но все още остава далеч </w:t>
      </w:r>
      <w:r w:rsidRPr="00DC4A4B">
        <w:rPr>
          <w:rFonts w:ascii="Times New Roman" w:hAnsi="Times New Roman" w:cs="Times New Roman"/>
        </w:rPr>
        <w:t xml:space="preserve">под </w:t>
      </w:r>
      <w:r>
        <w:rPr>
          <w:rFonts w:ascii="Times New Roman" w:hAnsi="Times New Roman" w:cs="Times New Roman"/>
        </w:rPr>
        <w:t>потенциала</w:t>
      </w:r>
      <w:r w:rsidRPr="00DC4A4B">
        <w:rPr>
          <w:rFonts w:ascii="Times New Roman" w:hAnsi="Times New Roman" w:cs="Times New Roman"/>
        </w:rPr>
        <w:t xml:space="preserve">. </w:t>
      </w:r>
      <w:r w:rsidRPr="00963A8E">
        <w:rPr>
          <w:rFonts w:ascii="Times New Roman" w:eastAsia="Calibri" w:hAnsi="Times New Roman" w:cs="Times New Roman"/>
          <w:b/>
          <w:color w:val="365F91"/>
          <w:lang w:eastAsia="en-US"/>
        </w:rPr>
        <w:t>Разходите им за НИРД</w:t>
      </w:r>
      <w:r>
        <w:rPr>
          <w:rFonts w:ascii="Times New Roman" w:hAnsi="Times New Roman" w:cs="Times New Roman"/>
        </w:rPr>
        <w:t xml:space="preserve"> нарастват повече от 4 пъти за последните 10 години (от 0.13% от БВП през 2007 г. до 0.57% от БВП през 2016 г.), но изостават повече от двойно от средните стойности за ЕС (1.32% от БВП през 2016 г.).</w:t>
      </w:r>
      <w:r w:rsidRPr="00525068">
        <w:rPr>
          <w:rFonts w:ascii="Times New Roman" w:hAnsi="Times New Roman" w:cs="Times New Roman"/>
        </w:rPr>
        <w:t xml:space="preserve"> </w:t>
      </w:r>
      <w:r w:rsidRPr="00DC4A4B">
        <w:rPr>
          <w:rFonts w:ascii="Times New Roman" w:hAnsi="Times New Roman" w:cs="Times New Roman"/>
        </w:rPr>
        <w:t xml:space="preserve">Проучванията показват,  че склонността на българските фирми за иновации положително и значително </w:t>
      </w:r>
      <w:proofErr w:type="spellStart"/>
      <w:r w:rsidRPr="00DC4A4B">
        <w:rPr>
          <w:rFonts w:ascii="Times New Roman" w:hAnsi="Times New Roman" w:cs="Times New Roman"/>
        </w:rPr>
        <w:t>корелира</w:t>
      </w:r>
      <w:proofErr w:type="spellEnd"/>
      <w:r w:rsidRPr="00DC4A4B">
        <w:rPr>
          <w:rFonts w:ascii="Times New Roman" w:hAnsi="Times New Roman" w:cs="Times New Roman"/>
        </w:rPr>
        <w:t xml:space="preserve"> с разходите им за НИРД и свързаните с това инвестиции в технологична инфраструктура, както и че продукцията им се увеличава заедно с иновационните им  усилия, независимо дали фирмата е нова на пазара или не</w:t>
      </w:r>
      <w:r>
        <w:rPr>
          <w:rStyle w:val="FootnoteReference"/>
          <w:rFonts w:ascii="Times New Roman" w:hAnsi="Times New Roman"/>
        </w:rPr>
        <w:footnoteReference w:id="56"/>
      </w:r>
      <w:r w:rsidRPr="00DC4A4B">
        <w:rPr>
          <w:rFonts w:ascii="Times New Roman" w:hAnsi="Times New Roman" w:cs="Times New Roman"/>
        </w:rPr>
        <w:t>.</w:t>
      </w:r>
      <w:r w:rsidRPr="003F5258">
        <w:rPr>
          <w:rFonts w:ascii="Times New Roman" w:hAnsi="Times New Roman" w:cs="Times New Roman"/>
        </w:rPr>
        <w:t xml:space="preserve"> </w:t>
      </w:r>
      <w:r>
        <w:rPr>
          <w:rFonts w:ascii="Times New Roman" w:hAnsi="Times New Roman" w:cs="Times New Roman"/>
        </w:rPr>
        <w:t>В годините след кризата рязко нараства делът на чуждестранното финансиране в структурата на разходите на частния сектор, формирайки приблизително 2/3</w:t>
      </w:r>
      <w:r>
        <w:rPr>
          <w:rStyle w:val="FootnoteReference"/>
          <w:rFonts w:ascii="Times New Roman" w:hAnsi="Times New Roman"/>
        </w:rPr>
        <w:footnoteReference w:id="57"/>
      </w:r>
      <w:r>
        <w:rPr>
          <w:rFonts w:ascii="Times New Roman" w:hAnsi="Times New Roman" w:cs="Times New Roman"/>
        </w:rPr>
        <w:t xml:space="preserve"> от тях. До голяма степен това се дължи на ч</w:t>
      </w:r>
      <w:r w:rsidRPr="00D40179">
        <w:rPr>
          <w:rFonts w:ascii="Times New Roman" w:hAnsi="Times New Roman" w:cs="Times New Roman"/>
        </w:rPr>
        <w:t>уждестранни</w:t>
      </w:r>
      <w:r>
        <w:rPr>
          <w:rFonts w:ascii="Times New Roman" w:hAnsi="Times New Roman" w:cs="Times New Roman"/>
        </w:rPr>
        <w:t xml:space="preserve"> </w:t>
      </w:r>
      <w:r w:rsidRPr="00D40179">
        <w:rPr>
          <w:rFonts w:ascii="Times New Roman" w:hAnsi="Times New Roman" w:cs="Times New Roman"/>
        </w:rPr>
        <w:t>фармацевтични компании, инвестиращи в клинични изпитания</w:t>
      </w:r>
      <w:r>
        <w:rPr>
          <w:rFonts w:ascii="Times New Roman" w:hAnsi="Times New Roman" w:cs="Times New Roman"/>
        </w:rPr>
        <w:t xml:space="preserve"> в страната, както и на </w:t>
      </w:r>
      <w:r w:rsidRPr="00D40179">
        <w:rPr>
          <w:rFonts w:ascii="Times New Roman" w:hAnsi="Times New Roman" w:cs="Times New Roman"/>
        </w:rPr>
        <w:t>многонационални компании</w:t>
      </w:r>
      <w:r>
        <w:rPr>
          <w:rFonts w:ascii="Times New Roman" w:hAnsi="Times New Roman" w:cs="Times New Roman"/>
        </w:rPr>
        <w:t xml:space="preserve">, </w:t>
      </w:r>
      <w:r w:rsidRPr="00D40179">
        <w:rPr>
          <w:rFonts w:ascii="Times New Roman" w:hAnsi="Times New Roman" w:cs="Times New Roman"/>
        </w:rPr>
        <w:t>активн</w:t>
      </w:r>
      <w:r>
        <w:rPr>
          <w:rFonts w:ascii="Times New Roman" w:hAnsi="Times New Roman" w:cs="Times New Roman"/>
        </w:rPr>
        <w:t>и</w:t>
      </w:r>
      <w:r w:rsidRPr="00D40179">
        <w:rPr>
          <w:rFonts w:ascii="Times New Roman" w:hAnsi="Times New Roman" w:cs="Times New Roman"/>
        </w:rPr>
        <w:t xml:space="preserve"> в областта на ИКТ.</w:t>
      </w:r>
      <w:r>
        <w:rPr>
          <w:rFonts w:ascii="Times New Roman" w:hAnsi="Times New Roman" w:cs="Times New Roman"/>
        </w:rPr>
        <w:t xml:space="preserve"> </w:t>
      </w:r>
      <w:r w:rsidRPr="00DC4A4B">
        <w:rPr>
          <w:rFonts w:ascii="Times New Roman" w:hAnsi="Times New Roman" w:cs="Times New Roman"/>
        </w:rPr>
        <w:t xml:space="preserve">Държавната подкрепа под формата на разходи за НИРД през посочения период </w:t>
      </w:r>
      <w:r>
        <w:rPr>
          <w:rFonts w:ascii="Times New Roman" w:hAnsi="Times New Roman" w:cs="Times New Roman"/>
        </w:rPr>
        <w:t>намалява постоянно от</w:t>
      </w:r>
      <w:r w:rsidRPr="00DC4A4B">
        <w:rPr>
          <w:rFonts w:ascii="Times New Roman" w:hAnsi="Times New Roman" w:cs="Times New Roman"/>
        </w:rPr>
        <w:t xml:space="preserve"> 0.29%</w:t>
      </w:r>
      <w:r>
        <w:rPr>
          <w:rFonts w:ascii="Times New Roman" w:hAnsi="Times New Roman" w:cs="Times New Roman"/>
        </w:rPr>
        <w:t xml:space="preserve"> до 0.2% от БВП</w:t>
      </w:r>
      <w:r w:rsidRPr="00DC4A4B">
        <w:rPr>
          <w:rFonts w:ascii="Times New Roman" w:hAnsi="Times New Roman" w:cs="Times New Roman"/>
        </w:rPr>
        <w:t xml:space="preserve"> </w:t>
      </w:r>
      <w:r>
        <w:rPr>
          <w:rFonts w:ascii="Times New Roman" w:hAnsi="Times New Roman" w:cs="Times New Roman"/>
        </w:rPr>
        <w:t xml:space="preserve">– </w:t>
      </w:r>
      <w:r w:rsidRPr="00DC4A4B">
        <w:rPr>
          <w:rFonts w:ascii="Times New Roman" w:hAnsi="Times New Roman" w:cs="Times New Roman"/>
        </w:rPr>
        <w:t>три</w:t>
      </w:r>
      <w:r>
        <w:rPr>
          <w:rFonts w:ascii="Times New Roman" w:hAnsi="Times New Roman" w:cs="Times New Roman"/>
        </w:rPr>
        <w:t xml:space="preserve"> пъти </w:t>
      </w:r>
      <w:r w:rsidRPr="00DC4A4B">
        <w:rPr>
          <w:rFonts w:ascii="Times New Roman" w:hAnsi="Times New Roman" w:cs="Times New Roman"/>
        </w:rPr>
        <w:t>по-малко от средн</w:t>
      </w:r>
      <w:r>
        <w:rPr>
          <w:rFonts w:ascii="Times New Roman" w:hAnsi="Times New Roman" w:cs="Times New Roman"/>
        </w:rPr>
        <w:t>о</w:t>
      </w:r>
      <w:r w:rsidRPr="00DC4A4B">
        <w:rPr>
          <w:rFonts w:ascii="Times New Roman" w:hAnsi="Times New Roman" w:cs="Times New Roman"/>
        </w:rPr>
        <w:t>т</w:t>
      </w:r>
      <w:r>
        <w:rPr>
          <w:rFonts w:ascii="Times New Roman" w:hAnsi="Times New Roman" w:cs="Times New Roman"/>
        </w:rPr>
        <w:t>о ниво</w:t>
      </w:r>
      <w:r w:rsidRPr="00DC4A4B">
        <w:rPr>
          <w:rFonts w:ascii="Times New Roman" w:hAnsi="Times New Roman" w:cs="Times New Roman"/>
        </w:rPr>
        <w:t xml:space="preserve"> за страните </w:t>
      </w:r>
      <w:r>
        <w:rPr>
          <w:rFonts w:ascii="Times New Roman" w:hAnsi="Times New Roman" w:cs="Times New Roman"/>
        </w:rPr>
        <w:t xml:space="preserve">в </w:t>
      </w:r>
      <w:r w:rsidRPr="00DC4A4B">
        <w:rPr>
          <w:rFonts w:ascii="Times New Roman" w:hAnsi="Times New Roman" w:cs="Times New Roman"/>
        </w:rPr>
        <w:t xml:space="preserve">ЕС </w:t>
      </w:r>
      <w:r>
        <w:rPr>
          <w:rFonts w:ascii="Times New Roman" w:hAnsi="Times New Roman" w:cs="Times New Roman"/>
        </w:rPr>
        <w:t>(</w:t>
      </w:r>
      <w:r w:rsidRPr="00DC4A4B">
        <w:rPr>
          <w:rFonts w:ascii="Times New Roman" w:hAnsi="Times New Roman" w:cs="Times New Roman"/>
        </w:rPr>
        <w:t>0.6</w:t>
      </w:r>
      <w:r>
        <w:rPr>
          <w:rFonts w:ascii="Times New Roman" w:hAnsi="Times New Roman" w:cs="Times New Roman"/>
        </w:rPr>
        <w:t>4</w:t>
      </w:r>
      <w:r w:rsidRPr="00DC4A4B">
        <w:rPr>
          <w:rFonts w:ascii="Times New Roman" w:hAnsi="Times New Roman" w:cs="Times New Roman"/>
        </w:rPr>
        <w:t>%</w:t>
      </w:r>
      <w:r>
        <w:rPr>
          <w:rFonts w:ascii="Times New Roman" w:hAnsi="Times New Roman" w:cs="Times New Roman"/>
        </w:rPr>
        <w:t>)</w:t>
      </w:r>
      <w:r w:rsidRPr="00DC4A4B">
        <w:rPr>
          <w:rFonts w:ascii="Times New Roman" w:hAnsi="Times New Roman" w:cs="Times New Roman"/>
        </w:rPr>
        <w:t>.</w:t>
      </w:r>
      <w:r>
        <w:rPr>
          <w:rFonts w:ascii="Times New Roman" w:hAnsi="Times New Roman" w:cs="Times New Roman"/>
        </w:rPr>
        <w:t xml:space="preserve"> Ако в началото на века, </w:t>
      </w:r>
      <w:r w:rsidRPr="00501B84">
        <w:rPr>
          <w:rFonts w:ascii="Times New Roman" w:hAnsi="Times New Roman" w:cs="Times New Roman"/>
        </w:rPr>
        <w:t xml:space="preserve">България е сред водещите страни в </w:t>
      </w:r>
      <w:r>
        <w:rPr>
          <w:rFonts w:ascii="Times New Roman" w:hAnsi="Times New Roman" w:cs="Times New Roman"/>
        </w:rPr>
        <w:t xml:space="preserve">Централна и Източна Европа по показателя </w:t>
      </w:r>
      <w:r w:rsidRPr="00501B84">
        <w:rPr>
          <w:rFonts w:ascii="Times New Roman" w:hAnsi="Times New Roman" w:cs="Times New Roman"/>
        </w:rPr>
        <w:t>дял от държавните разходи, предназначени за НИРД</w:t>
      </w:r>
      <w:r>
        <w:rPr>
          <w:rFonts w:ascii="Times New Roman" w:hAnsi="Times New Roman" w:cs="Times New Roman"/>
        </w:rPr>
        <w:t xml:space="preserve"> (1%), то </w:t>
      </w:r>
      <w:r w:rsidRPr="00501B84">
        <w:rPr>
          <w:rFonts w:ascii="Times New Roman" w:hAnsi="Times New Roman" w:cs="Times New Roman"/>
        </w:rPr>
        <w:t>през 201</w:t>
      </w:r>
      <w:r>
        <w:rPr>
          <w:rFonts w:ascii="Times New Roman" w:hAnsi="Times New Roman" w:cs="Times New Roman"/>
        </w:rPr>
        <w:t>7</w:t>
      </w:r>
      <w:r w:rsidRPr="00501B84">
        <w:rPr>
          <w:rFonts w:ascii="Times New Roman" w:hAnsi="Times New Roman" w:cs="Times New Roman"/>
        </w:rPr>
        <w:t xml:space="preserve"> г. се нарежда на 27-о място в ЕС, </w:t>
      </w:r>
      <w:r>
        <w:rPr>
          <w:rFonts w:ascii="Times New Roman" w:hAnsi="Times New Roman" w:cs="Times New Roman"/>
        </w:rPr>
        <w:t xml:space="preserve">успявайки да изпревари </w:t>
      </w:r>
      <w:r w:rsidRPr="00501B84">
        <w:rPr>
          <w:rFonts w:ascii="Times New Roman" w:hAnsi="Times New Roman" w:cs="Times New Roman"/>
        </w:rPr>
        <w:t>само Малта</w:t>
      </w:r>
      <w:r>
        <w:rPr>
          <w:rFonts w:ascii="Times New Roman" w:hAnsi="Times New Roman" w:cs="Times New Roman"/>
        </w:rPr>
        <w:t xml:space="preserve"> (с почти двойно по-ниско ниво на разходите за НИРД спрямо отделените през 2000 г.)</w:t>
      </w:r>
      <w:r w:rsidRPr="00501B84">
        <w:rPr>
          <w:rFonts w:ascii="Times New Roman" w:hAnsi="Times New Roman" w:cs="Times New Roman"/>
        </w:rPr>
        <w:t>.</w:t>
      </w:r>
      <w:r>
        <w:rPr>
          <w:rFonts w:ascii="Times New Roman" w:hAnsi="Times New Roman" w:cs="Times New Roman"/>
        </w:rPr>
        <w:t xml:space="preserve"> По този начин страната остава далеч от националната си цел </w:t>
      </w:r>
      <w:r w:rsidRPr="00525068">
        <w:rPr>
          <w:rFonts w:ascii="Times New Roman" w:hAnsi="Times New Roman" w:cs="Times New Roman"/>
        </w:rPr>
        <w:t>по стратегията „</w:t>
      </w:r>
      <w:r w:rsidRPr="003F6297">
        <w:rPr>
          <w:rFonts w:ascii="Times New Roman" w:hAnsi="Times New Roman" w:cs="Times New Roman"/>
          <w:i/>
        </w:rPr>
        <w:t>Европа 2020</w:t>
      </w:r>
      <w:r w:rsidRPr="00525068">
        <w:rPr>
          <w:rFonts w:ascii="Times New Roman" w:hAnsi="Times New Roman" w:cs="Times New Roman"/>
        </w:rPr>
        <w:t>”</w:t>
      </w:r>
      <w:r>
        <w:rPr>
          <w:rFonts w:ascii="Times New Roman" w:hAnsi="Times New Roman" w:cs="Times New Roman"/>
        </w:rPr>
        <w:t xml:space="preserve"> (1.5% общи разходи за НИРД), показващо необходимост от промяна в политиката и значително нарастване на публичните разходи.</w:t>
      </w:r>
    </w:p>
    <w:p w:rsidR="00AE0F90" w:rsidRPr="00DC4A4B"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t xml:space="preserve">Графика </w:t>
      </w:r>
      <w:r w:rsidR="00227FC6">
        <w:rPr>
          <w:rFonts w:ascii="Times New Roman" w:hAnsi="Times New Roman" w:cs="Times New Roman"/>
          <w:b/>
          <w:sz w:val="18"/>
          <w:szCs w:val="18"/>
        </w:rPr>
        <w:t xml:space="preserve">7. </w:t>
      </w:r>
      <w:r>
        <w:rPr>
          <w:rFonts w:ascii="Times New Roman" w:hAnsi="Times New Roman" w:cs="Times New Roman"/>
          <w:b/>
          <w:sz w:val="18"/>
          <w:szCs w:val="18"/>
        </w:rPr>
        <w:t>Разходи за НИРД по райони и сектори, 2016 г.</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w:drawing>
          <wp:anchor distT="0" distB="0" distL="114300" distR="114300" simplePos="0" relativeHeight="251662848" behindDoc="0" locked="0" layoutInCell="1" allowOverlap="1" wp14:anchorId="6881E25F" wp14:editId="59D638BE">
            <wp:simplePos x="0" y="0"/>
            <wp:positionH relativeFrom="column">
              <wp:posOffset>2962275</wp:posOffset>
            </wp:positionH>
            <wp:positionV relativeFrom="paragraph">
              <wp:posOffset>64770</wp:posOffset>
            </wp:positionV>
            <wp:extent cx="3130550" cy="1882140"/>
            <wp:effectExtent l="0" t="0" r="0" b="381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30550" cy="1882140"/>
                    </a:xfrm>
                    <a:prstGeom prst="rect">
                      <a:avLst/>
                    </a:prstGeom>
                    <a:noFill/>
                  </pic:spPr>
                </pic:pic>
              </a:graphicData>
            </a:graphic>
            <wp14:sizeRelH relativeFrom="page">
              <wp14:pctWidth>0</wp14:pctWidth>
            </wp14:sizeRelH>
            <wp14:sizeRelV relativeFrom="page">
              <wp14:pctHeight>0</wp14:pctHeight>
            </wp14:sizeRelV>
          </wp:anchor>
        </w:drawing>
      </w:r>
      <w:r w:rsidRPr="00D0313E">
        <w:rPr>
          <w:rFonts w:ascii="Times New Roman" w:hAnsi="Times New Roman" w:cs="Times New Roman"/>
        </w:rPr>
        <w:t>Ресурсите и разходите за НИРД са разпределени неравномерно в страната</w:t>
      </w:r>
      <w:r>
        <w:rPr>
          <w:rFonts w:ascii="Times New Roman" w:hAnsi="Times New Roman" w:cs="Times New Roman"/>
        </w:rPr>
        <w:t>,</w:t>
      </w:r>
      <w:r w:rsidRPr="00D0313E">
        <w:rPr>
          <w:rFonts w:ascii="Times New Roman" w:hAnsi="Times New Roman" w:cs="Times New Roman"/>
        </w:rPr>
        <w:t xml:space="preserve"> като през 2016 г. в Югозападен р</w:t>
      </w:r>
      <w:r>
        <w:rPr>
          <w:rFonts w:ascii="Times New Roman" w:hAnsi="Times New Roman" w:cs="Times New Roman"/>
        </w:rPr>
        <w:t>ай</w:t>
      </w:r>
      <w:r w:rsidRPr="00D0313E">
        <w:rPr>
          <w:rFonts w:ascii="Times New Roman" w:hAnsi="Times New Roman" w:cs="Times New Roman"/>
        </w:rPr>
        <w:t>он е концентриран значителен ресурс за НИРД (69% от разходите в бизнес сектора). На другия полюс е Северозападен р</w:t>
      </w:r>
      <w:r>
        <w:rPr>
          <w:rFonts w:ascii="Times New Roman" w:hAnsi="Times New Roman" w:cs="Times New Roman"/>
        </w:rPr>
        <w:t>ай</w:t>
      </w:r>
      <w:r w:rsidRPr="00D0313E">
        <w:rPr>
          <w:rFonts w:ascii="Times New Roman" w:hAnsi="Times New Roman" w:cs="Times New Roman"/>
        </w:rPr>
        <w:t xml:space="preserve">он, където в държавния сектор се изразходват едва 3.5% от общите разходи за НИРД, а вложените средства в научни продукти от предприятията са 4.5% от общите разходи на предприятията в страната. </w:t>
      </w:r>
      <w:r w:rsidRPr="00922CBE">
        <w:rPr>
          <w:rFonts w:ascii="Times New Roman" w:hAnsi="Times New Roman" w:cs="Times New Roman"/>
        </w:rPr>
        <w:t xml:space="preserve">В Северен централен </w:t>
      </w:r>
      <w:r>
        <w:rPr>
          <w:rFonts w:ascii="Times New Roman" w:hAnsi="Times New Roman" w:cs="Times New Roman"/>
        </w:rPr>
        <w:t xml:space="preserve">район </w:t>
      </w:r>
      <w:r w:rsidRPr="00922CBE">
        <w:rPr>
          <w:rFonts w:ascii="Times New Roman" w:hAnsi="Times New Roman" w:cs="Times New Roman"/>
        </w:rPr>
        <w:t>се концентрират 0.2% от разходите в държавния сектор и 5.3% от разходите на предприятията, а в Югоизточен р</w:t>
      </w:r>
      <w:r>
        <w:rPr>
          <w:rFonts w:ascii="Times New Roman" w:hAnsi="Times New Roman" w:cs="Times New Roman"/>
        </w:rPr>
        <w:t>ай</w:t>
      </w:r>
      <w:r w:rsidRPr="00922CBE">
        <w:rPr>
          <w:rFonts w:ascii="Times New Roman" w:hAnsi="Times New Roman" w:cs="Times New Roman"/>
        </w:rPr>
        <w:t>он – 2.7% от разходите в държавния сектор и 4.9% от разходите на предприятията.</w:t>
      </w:r>
      <w:r>
        <w:rPr>
          <w:rFonts w:ascii="Times New Roman" w:hAnsi="Times New Roman" w:cs="Times New Roman"/>
        </w:rPr>
        <w:t xml:space="preserve"> </w:t>
      </w:r>
      <w:r w:rsidRPr="0072169B">
        <w:rPr>
          <w:rFonts w:ascii="Times New Roman" w:hAnsi="Times New Roman" w:cs="Times New Roman"/>
        </w:rPr>
        <w:t xml:space="preserve">Друг важен аспект на регионалния иновационен анализ е свързан с наличната специализация в иновационни дейности, които създават максимална заетост в регионите на страната. Резултатите показват, че с изключение на архитектурните и инженерни дейности, и тези в областта на информационните технологии, преобладава специализацията в </w:t>
      </w:r>
      <w:proofErr w:type="spellStart"/>
      <w:r w:rsidRPr="0072169B">
        <w:rPr>
          <w:rFonts w:ascii="Times New Roman" w:hAnsi="Times New Roman" w:cs="Times New Roman"/>
        </w:rPr>
        <w:t>нискоиновативните</w:t>
      </w:r>
      <w:proofErr w:type="spellEnd"/>
      <w:r w:rsidRPr="0072169B">
        <w:rPr>
          <w:rFonts w:ascii="Times New Roman" w:hAnsi="Times New Roman" w:cs="Times New Roman"/>
        </w:rPr>
        <w:t xml:space="preserve"> дейности. Като цяло с намаляване на иновативността на икономическите дейности се увеличава специализацията от Югозападен район към Южен централен и Източна България.</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B54F8D">
        <w:rPr>
          <w:rFonts w:ascii="Times New Roman" w:hAnsi="Times New Roman" w:cs="Times New Roman"/>
        </w:rPr>
        <w:t xml:space="preserve">Българската </w:t>
      </w:r>
      <w:r w:rsidR="00BC457A">
        <w:rPr>
          <w:rFonts w:ascii="Times New Roman" w:eastAsia="Calibri" w:hAnsi="Times New Roman" w:cs="Times New Roman"/>
          <w:b/>
          <w:color w:val="365F91"/>
          <w:lang w:eastAsia="en-US"/>
        </w:rPr>
        <w:t>научно</w:t>
      </w:r>
      <w:r w:rsidR="00EA7BD2">
        <w:rPr>
          <w:rFonts w:ascii="Times New Roman" w:eastAsia="Calibri" w:hAnsi="Times New Roman" w:cs="Times New Roman"/>
          <w:b/>
          <w:color w:val="365F91"/>
          <w:lang w:val="en-US" w:eastAsia="en-US"/>
        </w:rPr>
        <w:t>-</w:t>
      </w:r>
      <w:r w:rsidR="00BC457A">
        <w:rPr>
          <w:rFonts w:ascii="Times New Roman" w:eastAsia="Calibri" w:hAnsi="Times New Roman" w:cs="Times New Roman"/>
          <w:b/>
          <w:color w:val="365F91"/>
          <w:lang w:eastAsia="en-US"/>
        </w:rPr>
        <w:t>и</w:t>
      </w:r>
      <w:r w:rsidRPr="00B54F8D">
        <w:rPr>
          <w:rFonts w:ascii="Times New Roman" w:eastAsia="Calibri" w:hAnsi="Times New Roman" w:cs="Times New Roman"/>
          <w:b/>
          <w:color w:val="365F91"/>
          <w:lang w:eastAsia="en-US"/>
        </w:rPr>
        <w:t>зследователска система</w:t>
      </w:r>
      <w:r w:rsidRPr="00B54F8D">
        <w:rPr>
          <w:rFonts w:ascii="Times New Roman" w:hAnsi="Times New Roman" w:cs="Times New Roman"/>
        </w:rPr>
        <w:t xml:space="preserve"> е изключително фрагментирана, особено в сравнение с</w:t>
      </w:r>
      <w:r>
        <w:rPr>
          <w:rFonts w:ascii="Times New Roman" w:hAnsi="Times New Roman" w:cs="Times New Roman"/>
        </w:rPr>
        <w:t xml:space="preserve">ъс </w:t>
      </w:r>
      <w:r w:rsidRPr="00B54F8D">
        <w:rPr>
          <w:rFonts w:ascii="Times New Roman" w:hAnsi="Times New Roman" w:cs="Times New Roman"/>
        </w:rPr>
        <w:t>системите в ЕС. В страната има около 120 публични изследователски организации, в това число 36 публични висши уч</w:t>
      </w:r>
      <w:r w:rsidR="00BC457A">
        <w:rPr>
          <w:rFonts w:ascii="Times New Roman" w:hAnsi="Times New Roman" w:cs="Times New Roman"/>
        </w:rPr>
        <w:t>илища</w:t>
      </w:r>
      <w:r w:rsidRPr="00B54F8D">
        <w:rPr>
          <w:rFonts w:ascii="Times New Roman" w:hAnsi="Times New Roman" w:cs="Times New Roman"/>
        </w:rPr>
        <w:t>, 42 института на Българската академия на науките (които са отделни юридически лица), 25 института на Аграрната академия и 18 научноизследователски института, действащи като „</w:t>
      </w:r>
      <w:r w:rsidRPr="003F6297">
        <w:rPr>
          <w:rFonts w:ascii="Times New Roman" w:hAnsi="Times New Roman" w:cs="Times New Roman"/>
          <w:i/>
        </w:rPr>
        <w:t>правителствени лаборатории</w:t>
      </w:r>
      <w:r w:rsidRPr="00B54F8D">
        <w:rPr>
          <w:rFonts w:ascii="Times New Roman" w:hAnsi="Times New Roman" w:cs="Times New Roman"/>
        </w:rPr>
        <w:t xml:space="preserve">“ и предоставящи услуги на секторните министерства. </w:t>
      </w:r>
      <w:r w:rsidRPr="00B54F8D">
        <w:rPr>
          <w:rFonts w:ascii="Times New Roman" w:hAnsi="Times New Roman" w:cs="Times New Roman"/>
        </w:rPr>
        <w:lastRenderedPageBreak/>
        <w:t>Фрагментацията е най-видима в сектора на висшето образование. В страната има 51 висши училища, 37 от които са държавни. Дори да вземем само публичните висши училища, България има едн</w:t>
      </w:r>
      <w:r>
        <w:rPr>
          <w:rFonts w:ascii="Times New Roman" w:hAnsi="Times New Roman" w:cs="Times New Roman"/>
        </w:rPr>
        <w:t>о</w:t>
      </w:r>
      <w:r w:rsidRPr="00B54F8D">
        <w:rPr>
          <w:rFonts w:ascii="Times New Roman" w:hAnsi="Times New Roman" w:cs="Times New Roman"/>
        </w:rPr>
        <w:t xml:space="preserve"> от най-високите нива на висши училища на глава от населението в ЕС, т.е. един ВУЗ на 190 000 жители, в сравнение с един ВУЗ на 330 000 </w:t>
      </w:r>
      <w:r>
        <w:rPr>
          <w:rFonts w:ascii="Times New Roman" w:hAnsi="Times New Roman" w:cs="Times New Roman"/>
        </w:rPr>
        <w:t xml:space="preserve">жители </w:t>
      </w:r>
      <w:r w:rsidRPr="00B54F8D">
        <w:rPr>
          <w:rFonts w:ascii="Times New Roman" w:hAnsi="Times New Roman" w:cs="Times New Roman"/>
        </w:rPr>
        <w:t>в Унгария, 350 000 в Румъния, 370 000 в Чехия, и т.н.</w:t>
      </w:r>
      <w:r>
        <w:rPr>
          <w:rStyle w:val="FootnoteReference"/>
          <w:rFonts w:ascii="Times New Roman" w:hAnsi="Times New Roman" w:cs="Times New Roman"/>
        </w:rPr>
        <w:footnoteReference w:id="58"/>
      </w:r>
      <w:r w:rsidRPr="00B54F8D">
        <w:rPr>
          <w:rFonts w:ascii="Times New Roman" w:hAnsi="Times New Roman" w:cs="Times New Roman"/>
        </w:rPr>
        <w:t xml:space="preserve"> Държавните ВУЗ-ове варират от големи </w:t>
      </w:r>
      <w:proofErr w:type="spellStart"/>
      <w:r w:rsidRPr="00B54F8D">
        <w:rPr>
          <w:rFonts w:ascii="Times New Roman" w:hAnsi="Times New Roman" w:cs="Times New Roman"/>
        </w:rPr>
        <w:t>многодисциплинарни</w:t>
      </w:r>
      <w:proofErr w:type="spellEnd"/>
      <w:r w:rsidRPr="00B54F8D">
        <w:rPr>
          <w:rFonts w:ascii="Times New Roman" w:hAnsi="Times New Roman" w:cs="Times New Roman"/>
        </w:rPr>
        <w:t xml:space="preserve"> „</w:t>
      </w:r>
      <w:r w:rsidRPr="003F6297">
        <w:rPr>
          <w:rFonts w:ascii="Times New Roman" w:hAnsi="Times New Roman" w:cs="Times New Roman"/>
          <w:i/>
        </w:rPr>
        <w:t>общи</w:t>
      </w:r>
      <w:r w:rsidRPr="00B54F8D">
        <w:rPr>
          <w:rFonts w:ascii="Times New Roman" w:hAnsi="Times New Roman" w:cs="Times New Roman"/>
        </w:rPr>
        <w:t>“ университети, като Софийския университет, до тясно специализирани, включително 4 медицински университета, 4 военни университета, 3 икономически университета и 12 технически университета. 14-те частни висши училища включват три „</w:t>
      </w:r>
      <w:r w:rsidRPr="003F6297">
        <w:rPr>
          <w:rFonts w:ascii="Times New Roman" w:hAnsi="Times New Roman" w:cs="Times New Roman"/>
          <w:i/>
        </w:rPr>
        <w:t>общи</w:t>
      </w:r>
      <w:r w:rsidRPr="00B54F8D">
        <w:rPr>
          <w:rFonts w:ascii="Times New Roman" w:hAnsi="Times New Roman" w:cs="Times New Roman"/>
        </w:rPr>
        <w:t>“ университета, като Нов български университет, и седем ВУЗ в областта на икономиката (бизнес училища). Много университетски преподаватели преподават в повече от един университет.</w:t>
      </w:r>
      <w:r>
        <w:rPr>
          <w:rFonts w:ascii="Times New Roman" w:hAnsi="Times New Roman" w:cs="Times New Roman"/>
        </w:rPr>
        <w:t xml:space="preserve"> Като следствие от ниските публични разходи за висше образование (0.7% от БВП през 2015 г, спрямо 1.27% в ЕС), в комбинация с големия брой държавни ВУЗ-ове, се откроява картина на </w:t>
      </w:r>
      <w:proofErr w:type="spellStart"/>
      <w:r>
        <w:rPr>
          <w:rFonts w:ascii="Times New Roman" w:hAnsi="Times New Roman" w:cs="Times New Roman"/>
        </w:rPr>
        <w:t>недофинансиране</w:t>
      </w:r>
      <w:proofErr w:type="spellEnd"/>
      <w:r>
        <w:rPr>
          <w:rFonts w:ascii="Times New Roman" w:hAnsi="Times New Roman" w:cs="Times New Roman"/>
        </w:rPr>
        <w:t xml:space="preserve"> на системата, при която публичното финансиране успява да покрие само разходите за персонал (съответстващи на 97% от постъпленията от държавния бюджет).</w:t>
      </w:r>
      <w:r w:rsidR="00BC457A" w:rsidRPr="00BC457A">
        <w:t xml:space="preserve"> </w:t>
      </w:r>
      <w:r w:rsidR="00BC457A" w:rsidRPr="00BC457A">
        <w:rPr>
          <w:rFonts w:ascii="Times New Roman" w:hAnsi="Times New Roman" w:cs="Times New Roman"/>
        </w:rPr>
        <w:t xml:space="preserve">Същевременно има създала се в годините изкуствена фрагментация на дейностите, присъщи на университетите, които са академични звена и на научните организации. Средно около </w:t>
      </w:r>
      <w:r w:rsidR="00BC457A">
        <w:rPr>
          <w:rFonts w:ascii="Times New Roman" w:hAnsi="Times New Roman" w:cs="Times New Roman"/>
        </w:rPr>
        <w:t xml:space="preserve">¼ </w:t>
      </w:r>
      <w:r w:rsidR="00BC457A" w:rsidRPr="00BC457A">
        <w:rPr>
          <w:rFonts w:ascii="Times New Roman" w:hAnsi="Times New Roman" w:cs="Times New Roman"/>
        </w:rPr>
        <w:t xml:space="preserve">от общия брой университети извършват научноизследователска дейност и стимулират същата с мерки и дейности на институционално ниво или участие в национални и международни научноизследователски програми. Останалите висши училища извършват предимно преподавателска дейност, което </w:t>
      </w:r>
      <w:r w:rsidR="00BC457A">
        <w:rPr>
          <w:rFonts w:ascii="Times New Roman" w:hAnsi="Times New Roman" w:cs="Times New Roman"/>
        </w:rPr>
        <w:t xml:space="preserve">не им позволява </w:t>
      </w:r>
      <w:r w:rsidR="00BC457A" w:rsidRPr="00BC457A">
        <w:rPr>
          <w:rFonts w:ascii="Times New Roman" w:hAnsi="Times New Roman" w:cs="Times New Roman"/>
        </w:rPr>
        <w:t>да се превърнат в центрове на знанието и стимул за регионален растеж и иновации. Пре</w:t>
      </w:r>
      <w:r w:rsidR="00BC457A">
        <w:rPr>
          <w:rFonts w:ascii="Times New Roman" w:hAnsi="Times New Roman" w:cs="Times New Roman"/>
        </w:rPr>
        <w:t xml:space="preserve">дприетите в последните две години мерки, целящи консолидиране на сектора и създаване на устойчиви </w:t>
      </w:r>
      <w:r w:rsidR="00BC457A" w:rsidRPr="00BC457A">
        <w:rPr>
          <w:rFonts w:ascii="Times New Roman" w:hAnsi="Times New Roman" w:cs="Times New Roman"/>
        </w:rPr>
        <w:t>между университетите и Българската академия на науките, като националните научни програми, все още не могат да бъдат оценени.</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9925BA">
        <w:rPr>
          <w:rFonts w:ascii="Times New Roman" w:hAnsi="Times New Roman" w:cs="Times New Roman"/>
        </w:rPr>
        <w:t xml:space="preserve">През последните години се наблюдава позитивно развитие по отношение на </w:t>
      </w:r>
      <w:r w:rsidRPr="00ED1502">
        <w:rPr>
          <w:rFonts w:ascii="Times New Roman" w:eastAsia="Calibri" w:hAnsi="Times New Roman" w:cs="Times New Roman"/>
          <w:b/>
          <w:color w:val="365F91"/>
          <w:lang w:eastAsia="en-US"/>
        </w:rPr>
        <w:t>човешките ресурси, ангажирани с научни изследвания</w:t>
      </w:r>
      <w:r w:rsidRPr="009925BA">
        <w:rPr>
          <w:rFonts w:ascii="Times New Roman" w:hAnsi="Times New Roman" w:cs="Times New Roman"/>
        </w:rPr>
        <w:t xml:space="preserve">, което е важна предпоставка за изграждане на икономика, базирана на знанието и иновациите. Общият </w:t>
      </w:r>
      <w:r>
        <w:rPr>
          <w:rFonts w:ascii="Times New Roman" w:hAnsi="Times New Roman" w:cs="Times New Roman"/>
        </w:rPr>
        <w:t xml:space="preserve">брой на персонала, зает с НИРД, </w:t>
      </w:r>
      <w:r w:rsidRPr="009925BA">
        <w:rPr>
          <w:rFonts w:ascii="Times New Roman" w:hAnsi="Times New Roman" w:cs="Times New Roman"/>
        </w:rPr>
        <w:t>нараства с 50% в годините след кризата и достига 25 хил.</w:t>
      </w:r>
      <w:r w:rsidRPr="009925BA">
        <w:rPr>
          <w:rStyle w:val="FootnoteReference"/>
          <w:rFonts w:ascii="Times New Roman" w:hAnsi="Times New Roman"/>
        </w:rPr>
        <w:footnoteReference w:id="59"/>
      </w:r>
      <w:r w:rsidRPr="009925BA">
        <w:rPr>
          <w:rFonts w:ascii="Times New Roman" w:hAnsi="Times New Roman" w:cs="Times New Roman"/>
        </w:rPr>
        <w:t xml:space="preserve"> през 2016 г., като формира 0.85% от общата заетост в икономиката и 0.78% от работната сила, намалявайки изоставането от ЕС по този показател (съответните стойности за общността възлизат на 1.34% и 1.22%). </w:t>
      </w:r>
      <w:r>
        <w:rPr>
          <w:rFonts w:ascii="Times New Roman" w:hAnsi="Times New Roman" w:cs="Times New Roman"/>
        </w:rPr>
        <w:t>Същевременно се наблюдава и подобряване на структурата на заетостта в сектора при ясно маркиране на тенденция на нарастване на относителния дял на частния сектор (от 14.4% през 2011 г. до 44.9% през 2016 г.) за сметка най-вече на намаляване на тежестта на публичния сектор (съответно от 54.4% до 32.1% за периода). Обезпокоителен е фактът, че университетите намаляват присъствието си в сектора, като броят на персонала им, зает с НИРД, варира във времето и намалява в относителен план. Въпреки отбелязаните позитивни тенденции, заключението на Обсерваторията за научни изследвания и иновации към ЕК в годишния й доклад за България за 2017 г. е, че нормалното функциониране на сектора изисква удвояване на заетия персонал и допълнително оптимизиране на структурата му, в посока увеличаване на присъствието на частния сектор и университетите.</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DC4A4B">
        <w:rPr>
          <w:rFonts w:ascii="Times New Roman" w:hAnsi="Times New Roman" w:cs="Times New Roman"/>
        </w:rPr>
        <w:t xml:space="preserve">Според </w:t>
      </w:r>
      <w:r>
        <w:rPr>
          <w:rFonts w:ascii="Times New Roman" w:hAnsi="Times New Roman" w:cs="Times New Roman"/>
        </w:rPr>
        <w:t>Е</w:t>
      </w:r>
      <w:r w:rsidRPr="00DC4A4B">
        <w:rPr>
          <w:rFonts w:ascii="Times New Roman" w:hAnsi="Times New Roman" w:cs="Times New Roman"/>
        </w:rPr>
        <w:t>вропейския иновационен индекс (</w:t>
      </w:r>
      <w:proofErr w:type="spellStart"/>
      <w:r w:rsidRPr="00DC4A4B">
        <w:rPr>
          <w:rFonts w:ascii="Times New Roman" w:hAnsi="Times New Roman" w:cs="Times New Roman"/>
          <w:i/>
        </w:rPr>
        <w:t>European</w:t>
      </w:r>
      <w:proofErr w:type="spellEnd"/>
      <w:r w:rsidRPr="00DC4A4B">
        <w:rPr>
          <w:rFonts w:ascii="Times New Roman" w:hAnsi="Times New Roman" w:cs="Times New Roman"/>
          <w:i/>
        </w:rPr>
        <w:t xml:space="preserve"> </w:t>
      </w:r>
      <w:proofErr w:type="spellStart"/>
      <w:r w:rsidRPr="00DC4A4B">
        <w:rPr>
          <w:rFonts w:ascii="Times New Roman" w:hAnsi="Times New Roman" w:cs="Times New Roman"/>
          <w:i/>
        </w:rPr>
        <w:t>Innovation</w:t>
      </w:r>
      <w:proofErr w:type="spellEnd"/>
      <w:r w:rsidRPr="00DC4A4B">
        <w:rPr>
          <w:rFonts w:ascii="Times New Roman" w:hAnsi="Times New Roman" w:cs="Times New Roman"/>
          <w:i/>
        </w:rPr>
        <w:t xml:space="preserve"> </w:t>
      </w:r>
      <w:proofErr w:type="spellStart"/>
      <w:r w:rsidRPr="00DC4A4B">
        <w:rPr>
          <w:rFonts w:ascii="Times New Roman" w:hAnsi="Times New Roman" w:cs="Times New Roman"/>
          <w:i/>
        </w:rPr>
        <w:t>Scoreboard</w:t>
      </w:r>
      <w:proofErr w:type="spellEnd"/>
      <w:r w:rsidRPr="00DC4A4B">
        <w:rPr>
          <w:rFonts w:ascii="Times New Roman" w:hAnsi="Times New Roman" w:cs="Times New Roman"/>
        </w:rPr>
        <w:t xml:space="preserve">), през 2017 г. България </w:t>
      </w:r>
      <w:r w:rsidRPr="003F5258">
        <w:rPr>
          <w:rFonts w:ascii="Times New Roman" w:hAnsi="Times New Roman" w:cs="Times New Roman"/>
        </w:rPr>
        <w:t>попада в категорията „</w:t>
      </w:r>
      <w:r w:rsidRPr="003D021B">
        <w:rPr>
          <w:rFonts w:ascii="Times New Roman" w:hAnsi="Times New Roman" w:cs="Times New Roman"/>
          <w:i/>
        </w:rPr>
        <w:t>скромен иноватор</w:t>
      </w:r>
      <w:r w:rsidRPr="003F5258">
        <w:rPr>
          <w:rFonts w:ascii="Times New Roman" w:hAnsi="Times New Roman" w:cs="Times New Roman"/>
        </w:rPr>
        <w:t>“</w:t>
      </w:r>
      <w:r>
        <w:rPr>
          <w:rFonts w:ascii="Times New Roman" w:hAnsi="Times New Roman" w:cs="Times New Roman"/>
        </w:rPr>
        <w:t>,</w:t>
      </w:r>
      <w:r w:rsidRPr="003F5258">
        <w:rPr>
          <w:rFonts w:ascii="Times New Roman" w:hAnsi="Times New Roman" w:cs="Times New Roman"/>
        </w:rPr>
        <w:t xml:space="preserve"> </w:t>
      </w:r>
      <w:r w:rsidRPr="00DC4A4B">
        <w:rPr>
          <w:rFonts w:ascii="Times New Roman" w:hAnsi="Times New Roman" w:cs="Times New Roman"/>
        </w:rPr>
        <w:t xml:space="preserve">с представяне далеч под средното за </w:t>
      </w:r>
      <w:r w:rsidRPr="003F5258">
        <w:rPr>
          <w:rFonts w:ascii="Times New Roman" w:hAnsi="Times New Roman" w:cs="Times New Roman"/>
        </w:rPr>
        <w:t xml:space="preserve">ЕС </w:t>
      </w:r>
      <w:r>
        <w:rPr>
          <w:rFonts w:ascii="Times New Roman" w:hAnsi="Times New Roman" w:cs="Times New Roman"/>
        </w:rPr>
        <w:t xml:space="preserve">и </w:t>
      </w:r>
      <w:r w:rsidRPr="003F5258">
        <w:rPr>
          <w:rFonts w:ascii="Times New Roman" w:hAnsi="Times New Roman" w:cs="Times New Roman"/>
        </w:rPr>
        <w:t xml:space="preserve">следвана в рамките на </w:t>
      </w:r>
      <w:r w:rsidRPr="00DC4A4B">
        <w:rPr>
          <w:rFonts w:ascii="Times New Roman" w:hAnsi="Times New Roman" w:cs="Times New Roman"/>
        </w:rPr>
        <w:t xml:space="preserve">общността </w:t>
      </w:r>
      <w:r w:rsidRPr="003F5258">
        <w:rPr>
          <w:rFonts w:ascii="Times New Roman" w:hAnsi="Times New Roman" w:cs="Times New Roman"/>
        </w:rPr>
        <w:t>само от Румъния</w:t>
      </w:r>
      <w:r>
        <w:rPr>
          <w:rFonts w:ascii="Times New Roman" w:hAnsi="Times New Roman" w:cs="Times New Roman"/>
        </w:rPr>
        <w:t>.</w:t>
      </w:r>
      <w:r w:rsidRPr="003F5258">
        <w:rPr>
          <w:rFonts w:ascii="Times New Roman" w:hAnsi="Times New Roman" w:cs="Times New Roman"/>
        </w:rPr>
        <w:t xml:space="preserve"> </w:t>
      </w:r>
      <w:r w:rsidRPr="00DC4A4B">
        <w:rPr>
          <w:rFonts w:ascii="Times New Roman" w:hAnsi="Times New Roman" w:cs="Times New Roman"/>
        </w:rPr>
        <w:t>По преобладаващата част от включените в индекса показатели представянето на България е на ниво под 50% от средното за ЕС. Особено ниски са резултатите в областите, касаещи МСП, където изоставането надхвърля 80%</w:t>
      </w:r>
      <w:r>
        <w:rPr>
          <w:rFonts w:ascii="Times New Roman" w:hAnsi="Times New Roman" w:cs="Times New Roman"/>
        </w:rPr>
        <w:t xml:space="preserve"> (вж. част 2.5.4.)</w:t>
      </w:r>
      <w:r w:rsidRPr="00DC4A4B">
        <w:rPr>
          <w:rFonts w:ascii="Times New Roman" w:hAnsi="Times New Roman" w:cs="Times New Roman"/>
        </w:rPr>
        <w:t xml:space="preserve">. </w:t>
      </w:r>
      <w:r w:rsidRPr="009D1227">
        <w:rPr>
          <w:rFonts w:ascii="Times New Roman" w:hAnsi="Times New Roman" w:cs="Times New Roman"/>
        </w:rPr>
        <w:t>Инвестиционното проучване на Европейската инвестиционна банка през 2017 г. показва, че само 1% от българските предприятия въвеждат иновация, която е новост в глобален плен, докато средната стойност за ЕС е 8%.</w:t>
      </w:r>
      <w:r>
        <w:rPr>
          <w:rFonts w:ascii="Times New Roman" w:hAnsi="Times New Roman" w:cs="Times New Roman"/>
        </w:rPr>
        <w:t xml:space="preserve"> </w:t>
      </w:r>
      <w:r w:rsidRPr="00DC4A4B">
        <w:rPr>
          <w:rFonts w:ascii="Times New Roman" w:hAnsi="Times New Roman" w:cs="Times New Roman"/>
        </w:rPr>
        <w:t>На другия полюс е представянето по някои индикатори, свързани с интелектуалната собственост и човешките ресурси.</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lastRenderedPageBreak/>
        <w:t>И</w:t>
      </w:r>
      <w:r w:rsidRPr="00DC4A4B">
        <w:rPr>
          <w:rFonts w:ascii="Times New Roman" w:hAnsi="Times New Roman" w:cs="Times New Roman"/>
        </w:rPr>
        <w:t xml:space="preserve">зследването </w:t>
      </w:r>
      <w:proofErr w:type="spellStart"/>
      <w:r w:rsidRPr="00DC4A4B">
        <w:rPr>
          <w:rFonts w:ascii="Times New Roman" w:hAnsi="Times New Roman" w:cs="Times New Roman"/>
          <w:i/>
        </w:rPr>
        <w:t>Global</w:t>
      </w:r>
      <w:proofErr w:type="spellEnd"/>
      <w:r w:rsidRPr="00DC4A4B">
        <w:rPr>
          <w:rFonts w:ascii="Times New Roman" w:hAnsi="Times New Roman" w:cs="Times New Roman"/>
          <w:i/>
        </w:rPr>
        <w:t xml:space="preserve"> </w:t>
      </w:r>
      <w:proofErr w:type="spellStart"/>
      <w:r w:rsidRPr="00DC4A4B">
        <w:rPr>
          <w:rFonts w:ascii="Times New Roman" w:hAnsi="Times New Roman" w:cs="Times New Roman"/>
          <w:i/>
        </w:rPr>
        <w:t>Competitiveness</w:t>
      </w:r>
      <w:proofErr w:type="spellEnd"/>
      <w:r w:rsidRPr="00DC4A4B">
        <w:rPr>
          <w:rFonts w:ascii="Times New Roman" w:hAnsi="Times New Roman" w:cs="Times New Roman"/>
          <w:i/>
        </w:rPr>
        <w:t xml:space="preserve"> </w:t>
      </w:r>
      <w:proofErr w:type="spellStart"/>
      <w:r w:rsidRPr="00DC4A4B">
        <w:rPr>
          <w:rFonts w:ascii="Times New Roman" w:hAnsi="Times New Roman" w:cs="Times New Roman"/>
          <w:i/>
        </w:rPr>
        <w:t>Report</w:t>
      </w:r>
      <w:proofErr w:type="spellEnd"/>
      <w:r w:rsidRPr="00DC4A4B">
        <w:rPr>
          <w:rFonts w:ascii="Times New Roman" w:hAnsi="Times New Roman" w:cs="Times New Roman"/>
          <w:i/>
        </w:rPr>
        <w:t xml:space="preserve"> 2017-2018</w:t>
      </w:r>
      <w:r w:rsidRPr="00DC4A4B">
        <w:rPr>
          <w:rFonts w:ascii="Times New Roman" w:hAnsi="Times New Roman" w:cs="Times New Roman"/>
        </w:rPr>
        <w:t xml:space="preserve"> на Световния икономически форум </w:t>
      </w:r>
      <w:r>
        <w:rPr>
          <w:rFonts w:ascii="Times New Roman" w:hAnsi="Times New Roman" w:cs="Times New Roman"/>
        </w:rPr>
        <w:t xml:space="preserve">определя </w:t>
      </w:r>
      <w:r w:rsidRPr="00DC4A4B">
        <w:rPr>
          <w:rFonts w:ascii="Times New Roman" w:hAnsi="Times New Roman" w:cs="Times New Roman"/>
        </w:rPr>
        <w:t xml:space="preserve">дефицита на учени и инженери, както и слабото сътрудничество между университетите и бизнеса при осъществяване на НИРД </w:t>
      </w:r>
      <w:r>
        <w:rPr>
          <w:rFonts w:ascii="Times New Roman" w:hAnsi="Times New Roman" w:cs="Times New Roman"/>
        </w:rPr>
        <w:t xml:space="preserve">сред основните </w:t>
      </w:r>
      <w:r w:rsidRPr="00DC4A4B">
        <w:rPr>
          <w:rFonts w:ascii="Times New Roman" w:hAnsi="Times New Roman" w:cs="Times New Roman"/>
        </w:rPr>
        <w:t>проблемни фактори</w:t>
      </w:r>
      <w:r>
        <w:rPr>
          <w:rFonts w:ascii="Times New Roman" w:hAnsi="Times New Roman" w:cs="Times New Roman"/>
        </w:rPr>
        <w:t xml:space="preserve"> на иновационната система. Един от основните проблеми пред системата </w:t>
      </w:r>
      <w:r w:rsidRPr="00CA5F62">
        <w:rPr>
          <w:rFonts w:ascii="Times New Roman" w:hAnsi="Times New Roman" w:cs="Times New Roman"/>
        </w:rPr>
        <w:t xml:space="preserve">засяга </w:t>
      </w:r>
      <w:r>
        <w:rPr>
          <w:rFonts w:ascii="Times New Roman" w:hAnsi="Times New Roman" w:cs="Times New Roman"/>
        </w:rPr>
        <w:t>(не)</w:t>
      </w:r>
      <w:r w:rsidRPr="00CA5F62">
        <w:rPr>
          <w:rFonts w:ascii="Times New Roman" w:hAnsi="Times New Roman" w:cs="Times New Roman"/>
        </w:rPr>
        <w:t>способността да се запазят опитни учени</w:t>
      </w:r>
      <w:r>
        <w:rPr>
          <w:rFonts w:ascii="Times New Roman" w:hAnsi="Times New Roman" w:cs="Times New Roman"/>
        </w:rPr>
        <w:t xml:space="preserve"> </w:t>
      </w:r>
      <w:r w:rsidRPr="00CA5F62">
        <w:rPr>
          <w:rFonts w:ascii="Times New Roman" w:hAnsi="Times New Roman" w:cs="Times New Roman"/>
        </w:rPr>
        <w:t>в България и да привле</w:t>
      </w:r>
      <w:r>
        <w:rPr>
          <w:rFonts w:ascii="Times New Roman" w:hAnsi="Times New Roman" w:cs="Times New Roman"/>
        </w:rPr>
        <w:t>кат (и запазят</w:t>
      </w:r>
      <w:r w:rsidRPr="00CA5F62">
        <w:rPr>
          <w:rFonts w:ascii="Times New Roman" w:hAnsi="Times New Roman" w:cs="Times New Roman"/>
        </w:rPr>
        <w:t>) млади таланти</w:t>
      </w:r>
      <w:r>
        <w:rPr>
          <w:rFonts w:ascii="Times New Roman" w:hAnsi="Times New Roman" w:cs="Times New Roman"/>
        </w:rPr>
        <w:t xml:space="preserve"> (страната заема съответно 119-то и 118-то място в света по двата показателя)</w:t>
      </w:r>
      <w:r w:rsidRPr="00CA5F62">
        <w:rPr>
          <w:rFonts w:ascii="Times New Roman" w:hAnsi="Times New Roman" w:cs="Times New Roman"/>
        </w:rPr>
        <w:t xml:space="preserve">. </w:t>
      </w:r>
      <w:r>
        <w:rPr>
          <w:rFonts w:ascii="Times New Roman" w:hAnsi="Times New Roman" w:cs="Times New Roman"/>
        </w:rPr>
        <w:t xml:space="preserve">Интензивният поток на напускащи страната </w:t>
      </w:r>
      <w:r w:rsidRPr="00CA5F62">
        <w:rPr>
          <w:rFonts w:ascii="Times New Roman" w:hAnsi="Times New Roman" w:cs="Times New Roman"/>
        </w:rPr>
        <w:t>висококвалифицирани хора, включително изследователи</w:t>
      </w:r>
      <w:r>
        <w:rPr>
          <w:rFonts w:ascii="Times New Roman" w:hAnsi="Times New Roman" w:cs="Times New Roman"/>
        </w:rPr>
        <w:t xml:space="preserve">, намалява </w:t>
      </w:r>
      <w:proofErr w:type="spellStart"/>
      <w:r>
        <w:rPr>
          <w:rFonts w:ascii="Times New Roman" w:hAnsi="Times New Roman" w:cs="Times New Roman"/>
        </w:rPr>
        <w:t>общоикономическия</w:t>
      </w:r>
      <w:proofErr w:type="spellEnd"/>
      <w:r>
        <w:rPr>
          <w:rFonts w:ascii="Times New Roman" w:hAnsi="Times New Roman" w:cs="Times New Roman"/>
        </w:rPr>
        <w:t xml:space="preserve"> й потенциал. </w:t>
      </w:r>
      <w:r w:rsidRPr="00DC4A4B">
        <w:rPr>
          <w:rFonts w:ascii="Times New Roman" w:hAnsi="Times New Roman" w:cs="Times New Roman"/>
        </w:rPr>
        <w:t xml:space="preserve">Същевременно, относително ниското (в сравнителен план) качество на научноизследователските институции </w:t>
      </w:r>
      <w:r>
        <w:rPr>
          <w:rFonts w:ascii="Times New Roman" w:hAnsi="Times New Roman" w:cs="Times New Roman"/>
        </w:rPr>
        <w:t xml:space="preserve">също </w:t>
      </w:r>
      <w:r w:rsidRPr="00DC4A4B">
        <w:rPr>
          <w:rFonts w:ascii="Times New Roman" w:hAnsi="Times New Roman" w:cs="Times New Roman"/>
        </w:rPr>
        <w:t>не допринася за подобряване на позицията на страната</w:t>
      </w:r>
      <w:r>
        <w:rPr>
          <w:rFonts w:ascii="Times New Roman" w:hAnsi="Times New Roman" w:cs="Times New Roman"/>
        </w:rPr>
        <w:t xml:space="preserve"> (</w:t>
      </w:r>
      <w:r w:rsidRPr="00DC4A4B">
        <w:rPr>
          <w:rFonts w:ascii="Times New Roman" w:hAnsi="Times New Roman" w:cs="Times New Roman"/>
        </w:rPr>
        <w:t>68-мо място в света</w:t>
      </w:r>
      <w:r>
        <w:rPr>
          <w:rFonts w:ascii="Times New Roman" w:hAnsi="Times New Roman" w:cs="Times New Roman"/>
        </w:rPr>
        <w:t>)</w:t>
      </w:r>
      <w:r w:rsidRPr="00DC4A4B">
        <w:rPr>
          <w:rFonts w:ascii="Times New Roman" w:hAnsi="Times New Roman" w:cs="Times New Roman"/>
        </w:rPr>
        <w:t>.</w:t>
      </w:r>
    </w:p>
    <w:p w:rsidR="005B41D8" w:rsidRDefault="005B41D8" w:rsidP="00AE0F90">
      <w:pPr>
        <w:pStyle w:val="ListParagraph"/>
        <w:spacing w:line="269" w:lineRule="auto"/>
        <w:ind w:left="0" w:firstLine="0"/>
        <w:contextualSpacing w:val="0"/>
        <w:jc w:val="both"/>
        <w:rPr>
          <w:rFonts w:ascii="Times New Roman" w:hAnsi="Times New Roman" w:cs="Times New Roman"/>
        </w:rPr>
      </w:pPr>
      <w:r w:rsidRPr="005B41D8">
        <w:rPr>
          <w:rFonts w:ascii="Times New Roman" w:hAnsi="Times New Roman" w:cs="Times New Roman"/>
        </w:rPr>
        <w:t>По отношение на финансирането на научни изследвания в страната, следва да се отбележи, че въпреки нарастването на конкурсното начало за сметка на институционалното финансиране, все още се наблюдава слаб напредък. Самите финансови механизми не отчитат динамиката в сектора и проектите, които се финансират остават отдалечени от световната практика и Рамковата програма за научни изследвания и иновации на Европейския съюз. Все още липсват финансови инструменти за финансиране на публично-частно партньорство между академичния сектор и индустрията, както и финансиране на комерсиализация на научни резултати и трансфер на технологии.</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613D1F">
        <w:rPr>
          <w:rFonts w:ascii="Times New Roman" w:hAnsi="Times New Roman" w:cs="Times New Roman"/>
        </w:rPr>
        <w:t>Бавен напредък се наблюдава в увеличаването на привлекателността на националната система за НИРД за националните и международните учени и изследователи. Инициираната диференциация на висшите учебни заведения и промените в модела за финансиране на публичните научноизследователски организации представляват положително развитие в тази посока. Диференциацията обаче трябва допълнително да се подобри, така че осъществяващите НИРД университети и други публични научноизследователски организации (БАН) да бъдат възнаграждавани за съответните им постижения, докато другите ВУ се финансират за приноса им към пазара на труда и резултатите от обучението на работната сила. Центровете за върхови постижения и центровете за компетентност могат да играят ключова роля в този процес</w:t>
      </w:r>
      <w:r>
        <w:rPr>
          <w:rFonts w:ascii="Times New Roman" w:hAnsi="Times New Roman" w:cs="Times New Roman"/>
        </w:rPr>
        <w:t xml:space="preserve">. Основен акцент тук трябва да бъде повишаване на </w:t>
      </w:r>
      <w:r w:rsidRPr="00631223">
        <w:rPr>
          <w:rFonts w:ascii="Times New Roman" w:hAnsi="Times New Roman" w:cs="Times New Roman"/>
        </w:rPr>
        <w:t xml:space="preserve">ефективността </w:t>
      </w:r>
      <w:r w:rsidRPr="00785B48">
        <w:rPr>
          <w:rFonts w:ascii="Times New Roman" w:hAnsi="Times New Roman" w:cs="Times New Roman"/>
        </w:rPr>
        <w:t xml:space="preserve">на публичните разходи за НИРД при </w:t>
      </w:r>
      <w:r>
        <w:rPr>
          <w:rFonts w:ascii="Times New Roman" w:hAnsi="Times New Roman" w:cs="Times New Roman"/>
        </w:rPr>
        <w:t xml:space="preserve">стремеж за </w:t>
      </w:r>
      <w:r w:rsidRPr="00785B48">
        <w:rPr>
          <w:rFonts w:ascii="Times New Roman" w:hAnsi="Times New Roman" w:cs="Times New Roman"/>
        </w:rPr>
        <w:t>повишаване на експлоатацията и комерсиализацията на резултатите</w:t>
      </w:r>
      <w:r>
        <w:rPr>
          <w:rFonts w:ascii="Times New Roman" w:hAnsi="Times New Roman" w:cs="Times New Roman"/>
        </w:rPr>
        <w:t xml:space="preserve"> от изследователската дейност. </w:t>
      </w:r>
      <w:r w:rsidRPr="00CA5F62">
        <w:rPr>
          <w:rFonts w:ascii="Times New Roman" w:hAnsi="Times New Roman" w:cs="Times New Roman"/>
        </w:rPr>
        <w:t xml:space="preserve">Основен недостатък на иновационната система в страната е недостатъчната ориентираност на модела за управление на интелектуалната собственост към комерсиализация и валоризация на научните и иновативни резултати. Липсва, например, практика за предоставяне на права по управление на интелектуалната собственост на трети лица, като фирми, клъстери или друг вид консорциуми, което би способствало за интензифициране предприемчивостта сред научните среди и мотивацията за създаване на нови продукти и услуги. Данните на българското патентно ведомство показват ясно изразена тенденция на постоянно намаление на патентните заявки на местно ниво – само за последните </w:t>
      </w:r>
      <w:r>
        <w:rPr>
          <w:rFonts w:ascii="Times New Roman" w:hAnsi="Times New Roman" w:cs="Times New Roman"/>
        </w:rPr>
        <w:t>шест</w:t>
      </w:r>
      <w:r w:rsidRPr="00CA5F62">
        <w:rPr>
          <w:rFonts w:ascii="Times New Roman" w:hAnsi="Times New Roman" w:cs="Times New Roman"/>
        </w:rPr>
        <w:t xml:space="preserve"> години те намаляват почти двойно и достигат 819 през 2017 г. Броят на регистрираните патенти от българска страна в световен мащаб е само 32</w:t>
      </w:r>
      <w:r w:rsidRPr="00CA5F62">
        <w:rPr>
          <w:rStyle w:val="FootnoteReference"/>
          <w:rFonts w:ascii="Times New Roman" w:hAnsi="Times New Roman"/>
        </w:rPr>
        <w:footnoteReference w:id="60"/>
      </w:r>
      <w:r w:rsidRPr="00CA5F62">
        <w:rPr>
          <w:rFonts w:ascii="Times New Roman" w:hAnsi="Times New Roman" w:cs="Times New Roman"/>
        </w:rPr>
        <w:t>, а на един милион жители в България се пада по 4.5 патента, което отрежда на страната 26-то място в ЕС, изпреварвайки единствено Хърватска и Румъния. За сравнение, съответният показател в Холандия (която е лидер в това отношение в рамките на ЕС) възлиза на 412.2 патента на един милион жители.</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C325B1">
        <w:rPr>
          <w:rFonts w:ascii="Times New Roman" w:hAnsi="Times New Roman" w:cs="Times New Roman"/>
        </w:rPr>
        <w:t>Съгласно една от най-авторитетните бази данни в областта на науката (</w:t>
      </w:r>
      <w:proofErr w:type="spellStart"/>
      <w:r w:rsidRPr="00C325B1">
        <w:rPr>
          <w:rFonts w:ascii="Times New Roman" w:hAnsi="Times New Roman" w:cs="Times New Roman"/>
          <w:i/>
        </w:rPr>
        <w:t>Web</w:t>
      </w:r>
      <w:proofErr w:type="spellEnd"/>
      <w:r w:rsidRPr="00C325B1">
        <w:rPr>
          <w:rFonts w:ascii="Times New Roman" w:hAnsi="Times New Roman" w:cs="Times New Roman"/>
          <w:i/>
        </w:rPr>
        <w:t xml:space="preserve"> </w:t>
      </w:r>
      <w:proofErr w:type="spellStart"/>
      <w:r w:rsidRPr="00C325B1">
        <w:rPr>
          <w:rFonts w:ascii="Times New Roman" w:hAnsi="Times New Roman" w:cs="Times New Roman"/>
          <w:i/>
        </w:rPr>
        <w:t>of</w:t>
      </w:r>
      <w:proofErr w:type="spellEnd"/>
      <w:r w:rsidRPr="00C325B1">
        <w:rPr>
          <w:rFonts w:ascii="Times New Roman" w:hAnsi="Times New Roman" w:cs="Times New Roman"/>
          <w:i/>
        </w:rPr>
        <w:t xml:space="preserve"> Science</w:t>
      </w:r>
      <w:r w:rsidRPr="00C325B1">
        <w:rPr>
          <w:rFonts w:ascii="Times New Roman" w:hAnsi="Times New Roman" w:cs="Times New Roman"/>
        </w:rPr>
        <w:t xml:space="preserve">), през последните години България продължава непрекъснато и трайно да губи позиции по отношение на броя на международно видимите научни публикации, което е индикатор за влошаване на </w:t>
      </w:r>
      <w:r w:rsidRPr="00C325B1">
        <w:rPr>
          <w:rFonts w:ascii="Times New Roman" w:eastAsia="Calibri" w:hAnsi="Times New Roman" w:cs="Times New Roman"/>
          <w:b/>
          <w:color w:val="365F91"/>
          <w:lang w:eastAsia="en-US"/>
        </w:rPr>
        <w:t>качеството на научно-изследователската система</w:t>
      </w:r>
      <w:r w:rsidRPr="00C325B1">
        <w:rPr>
          <w:rFonts w:ascii="Times New Roman" w:hAnsi="Times New Roman" w:cs="Times New Roman"/>
        </w:rPr>
        <w:t>. През 2016 г. страната заема 59-то място в света, отстъпвайки допълнителни 8 позиции за последните десет години. Подобно развитие се наблюдава и по отношение на класацията по брой цитирания, което също е симптоматично за качеството на научната дейност. Делът на научните публикации от България, включени в топ 10% от най-цитираните трудове, е намалял почти двойно от 2008 г. до 2015 г., съответно от 6.5% до 3.5%</w:t>
      </w:r>
      <w:r w:rsidRPr="00C325B1">
        <w:rPr>
          <w:rStyle w:val="FootnoteReference"/>
          <w:rFonts w:ascii="Times New Roman" w:hAnsi="Times New Roman"/>
        </w:rPr>
        <w:footnoteReference w:id="61"/>
      </w:r>
      <w:r w:rsidRPr="00C325B1">
        <w:rPr>
          <w:rFonts w:ascii="Times New Roman" w:hAnsi="Times New Roman" w:cs="Times New Roman"/>
        </w:rPr>
        <w:t xml:space="preserve">. Участието на българските научни </w:t>
      </w:r>
      <w:r w:rsidRPr="00C325B1">
        <w:rPr>
          <w:rFonts w:ascii="Times New Roman" w:hAnsi="Times New Roman" w:cs="Times New Roman"/>
        </w:rPr>
        <w:lastRenderedPageBreak/>
        <w:t>среди в изследователските програми на ЕС също е показателно за капацитета и качеството на научно-изследователската система. В условия на конкуренция между учените в ЕС, по Седма рамкова програма българските изследователи са защитили участието си в проекти, чиято обща стойност е еквивалентна на 12.8 евро на глава от населението на страната, при шест пъти по-висока средна стойност за ЕС (78.9 евро на глава от населението). За първите години от изпълнението на „</w:t>
      </w:r>
      <w:r w:rsidRPr="00C325B1">
        <w:rPr>
          <w:rFonts w:ascii="Times New Roman" w:hAnsi="Times New Roman" w:cs="Times New Roman"/>
          <w:i/>
        </w:rPr>
        <w:t>Хоризонт 2020</w:t>
      </w:r>
      <w:r w:rsidRPr="00C325B1">
        <w:rPr>
          <w:rFonts w:ascii="Times New Roman" w:hAnsi="Times New Roman" w:cs="Times New Roman"/>
        </w:rPr>
        <w:t>“, изоставането нараства допълнително и достига десет пъти</w:t>
      </w:r>
      <w:r w:rsidRPr="00C325B1">
        <w:rPr>
          <w:rStyle w:val="FootnoteReference"/>
          <w:rFonts w:ascii="Times New Roman" w:hAnsi="Times New Roman"/>
        </w:rPr>
        <w:footnoteReference w:id="62"/>
      </w:r>
      <w:r w:rsidRPr="00C325B1">
        <w:rPr>
          <w:rFonts w:ascii="Times New Roman" w:hAnsi="Times New Roman" w:cs="Times New Roman"/>
        </w:rPr>
        <w:t>.</w:t>
      </w:r>
      <w:r w:rsidRPr="0008501D">
        <w:rPr>
          <w:rFonts w:ascii="Times New Roman" w:hAnsi="Times New Roman" w:cs="Times New Roman"/>
        </w:rPr>
        <w:t xml:space="preserve"> </w:t>
      </w:r>
    </w:p>
    <w:p w:rsidR="00AE0F90" w:rsidRPr="00F54C9A" w:rsidRDefault="00AE0F90" w:rsidP="00AE0F90">
      <w:pPr>
        <w:pStyle w:val="ListParagraph"/>
        <w:spacing w:line="269" w:lineRule="auto"/>
        <w:ind w:left="0" w:firstLine="0"/>
        <w:contextualSpacing w:val="0"/>
        <w:jc w:val="both"/>
        <w:rPr>
          <w:rFonts w:ascii="Times New Roman" w:hAnsi="Times New Roman" w:cs="Times New Roman"/>
        </w:rPr>
      </w:pPr>
      <w:r w:rsidRPr="00F54C9A">
        <w:rPr>
          <w:rFonts w:ascii="Times New Roman" w:hAnsi="Times New Roman" w:cs="Times New Roman"/>
        </w:rPr>
        <w:t xml:space="preserve">Съществува силна необходимост от по-нататъшно подпомагане на интеграцията и европеизацията на българската наука, научни изследвания и иновации. Системните недостатъци досега се дължат както на недостатъчните национални публични ресурси, отпуснати за НИРД, </w:t>
      </w:r>
      <w:r w:rsidR="005B41D8" w:rsidRPr="005B41D8">
        <w:rPr>
          <w:rFonts w:ascii="Times New Roman" w:hAnsi="Times New Roman" w:cs="Times New Roman"/>
        </w:rPr>
        <w:t>липсата на адекватна система за оценка и мониторинг,</w:t>
      </w:r>
      <w:r w:rsidR="005B41D8">
        <w:rPr>
          <w:rFonts w:ascii="Times New Roman" w:hAnsi="Times New Roman" w:cs="Times New Roman"/>
        </w:rPr>
        <w:t xml:space="preserve"> </w:t>
      </w:r>
      <w:r w:rsidRPr="00F54C9A">
        <w:rPr>
          <w:rFonts w:ascii="Times New Roman" w:hAnsi="Times New Roman" w:cs="Times New Roman"/>
        </w:rPr>
        <w:t xml:space="preserve">така и на недостатъчното участие и успех на националните участници в рамката на ЕС и други програми и инициативи. </w:t>
      </w:r>
      <w:r>
        <w:rPr>
          <w:rFonts w:ascii="Times New Roman" w:hAnsi="Times New Roman" w:cs="Times New Roman"/>
        </w:rPr>
        <w:t xml:space="preserve">Според оценки на ЕК, </w:t>
      </w:r>
      <w:r w:rsidRPr="00F54C9A">
        <w:rPr>
          <w:rFonts w:ascii="Times New Roman" w:hAnsi="Times New Roman" w:cs="Times New Roman"/>
        </w:rPr>
        <w:t xml:space="preserve">участието на България в </w:t>
      </w:r>
      <w:r>
        <w:rPr>
          <w:rFonts w:ascii="Times New Roman" w:hAnsi="Times New Roman" w:cs="Times New Roman"/>
        </w:rPr>
        <w:t xml:space="preserve">Платформата за интелигентна специализация </w:t>
      </w:r>
      <w:r w:rsidRPr="00ED1502">
        <w:rPr>
          <w:rFonts w:ascii="Times New Roman" w:hAnsi="Times New Roman" w:cs="Times New Roman"/>
        </w:rPr>
        <w:t>(</w:t>
      </w:r>
      <w:r w:rsidRPr="003C0729">
        <w:rPr>
          <w:rFonts w:ascii="Times New Roman" w:hAnsi="Times New Roman" w:cs="Times New Roman"/>
          <w:i/>
        </w:rPr>
        <w:t>RIS3</w:t>
      </w:r>
      <w:r w:rsidRPr="00ED1502">
        <w:rPr>
          <w:rFonts w:ascii="Times New Roman" w:hAnsi="Times New Roman" w:cs="Times New Roman"/>
        </w:rPr>
        <w:t>)</w:t>
      </w:r>
      <w:r w:rsidRPr="00F54C9A">
        <w:rPr>
          <w:rFonts w:ascii="Times New Roman" w:hAnsi="Times New Roman" w:cs="Times New Roman"/>
        </w:rPr>
        <w:t xml:space="preserve"> и Европейски</w:t>
      </w:r>
      <w:r>
        <w:rPr>
          <w:rFonts w:ascii="Times New Roman" w:hAnsi="Times New Roman" w:cs="Times New Roman"/>
        </w:rPr>
        <w:t>я</w:t>
      </w:r>
      <w:r w:rsidRPr="00F54C9A">
        <w:rPr>
          <w:rFonts w:ascii="Times New Roman" w:hAnsi="Times New Roman" w:cs="Times New Roman"/>
        </w:rPr>
        <w:t xml:space="preserve"> стратегически фор</w:t>
      </w:r>
      <w:bookmarkStart w:id="24" w:name="_GoBack"/>
      <w:bookmarkEnd w:id="24"/>
      <w:r w:rsidRPr="00F54C9A">
        <w:rPr>
          <w:rFonts w:ascii="Times New Roman" w:hAnsi="Times New Roman" w:cs="Times New Roman"/>
        </w:rPr>
        <w:t xml:space="preserve">ум за научни инфраструктури </w:t>
      </w:r>
      <w:r w:rsidRPr="00ED1502">
        <w:rPr>
          <w:rFonts w:ascii="Times New Roman" w:hAnsi="Times New Roman" w:cs="Times New Roman"/>
        </w:rPr>
        <w:t>(</w:t>
      </w:r>
      <w:r w:rsidRPr="003C0729">
        <w:rPr>
          <w:rFonts w:ascii="Times New Roman" w:hAnsi="Times New Roman" w:cs="Times New Roman"/>
          <w:i/>
        </w:rPr>
        <w:t>ESFRI</w:t>
      </w:r>
      <w:r w:rsidRPr="00ED1502">
        <w:rPr>
          <w:rFonts w:ascii="Times New Roman" w:hAnsi="Times New Roman" w:cs="Times New Roman"/>
        </w:rPr>
        <w:t xml:space="preserve">) </w:t>
      </w:r>
      <w:r>
        <w:rPr>
          <w:rFonts w:ascii="Times New Roman" w:hAnsi="Times New Roman" w:cs="Times New Roman"/>
        </w:rPr>
        <w:t>е</w:t>
      </w:r>
      <w:r w:rsidRPr="00F54C9A">
        <w:rPr>
          <w:rFonts w:ascii="Times New Roman" w:hAnsi="Times New Roman" w:cs="Times New Roman"/>
        </w:rPr>
        <w:t xml:space="preserve"> довел</w:t>
      </w:r>
      <w:r>
        <w:rPr>
          <w:rFonts w:ascii="Times New Roman" w:hAnsi="Times New Roman" w:cs="Times New Roman"/>
        </w:rPr>
        <w:t>о</w:t>
      </w:r>
      <w:r w:rsidRPr="00F54C9A">
        <w:rPr>
          <w:rFonts w:ascii="Times New Roman" w:hAnsi="Times New Roman" w:cs="Times New Roman"/>
        </w:rPr>
        <w:t xml:space="preserve"> до подобряване на координацията и сътрудничеството между различните нива на управление, а също и между административните области; между правителството, индустрията, образователните и изследователските институции, както и гражданите; както и между националните и европейските участници.</w:t>
      </w:r>
      <w:r w:rsidRPr="00ED1502">
        <w:t xml:space="preserve"> </w:t>
      </w:r>
      <w:r w:rsidRPr="00ED1502">
        <w:rPr>
          <w:rFonts w:ascii="Times New Roman" w:hAnsi="Times New Roman" w:cs="Times New Roman"/>
        </w:rPr>
        <w:t xml:space="preserve">Налице е необходимост от предоставяне на институционална подкрепа както на публичния, така и на частния сектор за пълноценното им включване в програми и проекти, съфинансирани от ЕС, особено </w:t>
      </w:r>
      <w:r>
        <w:rPr>
          <w:rFonts w:ascii="Times New Roman" w:hAnsi="Times New Roman" w:cs="Times New Roman"/>
        </w:rPr>
        <w:t>„</w:t>
      </w:r>
      <w:r w:rsidRPr="003C5277">
        <w:rPr>
          <w:rFonts w:ascii="Times New Roman" w:hAnsi="Times New Roman" w:cs="Times New Roman"/>
          <w:i/>
        </w:rPr>
        <w:t>Хоризонт 2020</w:t>
      </w:r>
      <w:r>
        <w:rPr>
          <w:rFonts w:ascii="Times New Roman" w:hAnsi="Times New Roman" w:cs="Times New Roman"/>
        </w:rPr>
        <w:t>“</w:t>
      </w:r>
      <w:r w:rsidRPr="00ED1502">
        <w:rPr>
          <w:rFonts w:ascii="Times New Roman" w:hAnsi="Times New Roman" w:cs="Times New Roman"/>
        </w:rPr>
        <w:t xml:space="preserve"> и нейното продължение в следващия програмен период</w:t>
      </w:r>
      <w:r>
        <w:rPr>
          <w:rFonts w:ascii="Times New Roman" w:hAnsi="Times New Roman" w:cs="Times New Roman"/>
        </w:rPr>
        <w:t xml:space="preserve"> – „</w:t>
      </w:r>
      <w:r w:rsidRPr="003C5277">
        <w:rPr>
          <w:rFonts w:ascii="Times New Roman" w:hAnsi="Times New Roman" w:cs="Times New Roman"/>
          <w:i/>
        </w:rPr>
        <w:t>Хоризонт Европа</w:t>
      </w:r>
      <w:r>
        <w:rPr>
          <w:rFonts w:ascii="Times New Roman" w:hAnsi="Times New Roman" w:cs="Times New Roman"/>
        </w:rPr>
        <w:t>“</w:t>
      </w:r>
      <w:r w:rsidRPr="00ED1502">
        <w:rPr>
          <w:rFonts w:ascii="Times New Roman" w:hAnsi="Times New Roman" w:cs="Times New Roman"/>
        </w:rPr>
        <w:t xml:space="preserve">. </w:t>
      </w:r>
      <w:r w:rsidRPr="00997F86">
        <w:rPr>
          <w:rFonts w:ascii="Times New Roman" w:hAnsi="Times New Roman" w:cs="Times New Roman"/>
        </w:rPr>
        <w:t>Очакванията в това отношение са насочени главно към обособената в края на 2017 г. изпълнителна агенция „</w:t>
      </w:r>
      <w:r w:rsidRPr="00997F86">
        <w:rPr>
          <w:rFonts w:ascii="Times New Roman" w:hAnsi="Times New Roman" w:cs="Times New Roman"/>
          <w:i/>
        </w:rPr>
        <w:t>Оперативна програма Наука и образование за интелигентен растеж</w:t>
      </w:r>
      <w:r w:rsidRPr="00997F86">
        <w:rPr>
          <w:rFonts w:ascii="Times New Roman" w:hAnsi="Times New Roman" w:cs="Times New Roman"/>
        </w:rPr>
        <w:t>“</w:t>
      </w:r>
      <w:r w:rsidR="005B41D8">
        <w:rPr>
          <w:rFonts w:ascii="Times New Roman" w:hAnsi="Times New Roman" w:cs="Times New Roman"/>
        </w:rPr>
        <w:t xml:space="preserve">, </w:t>
      </w:r>
      <w:r w:rsidR="005B41D8" w:rsidRPr="005B41D8">
        <w:rPr>
          <w:rFonts w:ascii="Times New Roman" w:hAnsi="Times New Roman" w:cs="Times New Roman"/>
        </w:rPr>
        <w:t xml:space="preserve">както и към създаването на специализирано звено за консултации и контакти по </w:t>
      </w:r>
      <w:r w:rsidR="005B41D8">
        <w:rPr>
          <w:rFonts w:ascii="Times New Roman" w:hAnsi="Times New Roman" w:cs="Times New Roman"/>
        </w:rPr>
        <w:t>Рамковата програма в обособена А</w:t>
      </w:r>
      <w:r w:rsidR="005B41D8" w:rsidRPr="005B41D8">
        <w:rPr>
          <w:rFonts w:ascii="Times New Roman" w:hAnsi="Times New Roman" w:cs="Times New Roman"/>
        </w:rPr>
        <w:t xml:space="preserve">генция за развитие на научните изследвания и </w:t>
      </w:r>
      <w:proofErr w:type="spellStart"/>
      <w:r w:rsidR="005B41D8" w:rsidRPr="005B41D8">
        <w:rPr>
          <w:rFonts w:ascii="Times New Roman" w:hAnsi="Times New Roman" w:cs="Times New Roman"/>
        </w:rPr>
        <w:t>лиазон</w:t>
      </w:r>
      <w:proofErr w:type="spellEnd"/>
      <w:r w:rsidR="005B41D8" w:rsidRPr="005B41D8">
        <w:rPr>
          <w:rFonts w:ascii="Times New Roman" w:hAnsi="Times New Roman" w:cs="Times New Roman"/>
        </w:rPr>
        <w:t xml:space="preserve"> офис в Брюксел</w:t>
      </w:r>
      <w:r w:rsidRPr="00997F86">
        <w:rPr>
          <w:rFonts w:ascii="Times New Roman" w:hAnsi="Times New Roman" w:cs="Times New Roman"/>
        </w:rPr>
        <w:t>.</w:t>
      </w:r>
    </w:p>
    <w:p w:rsidR="00AE0F90" w:rsidRPr="009D5E79"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Според Глобалния иновационен индекс (</w:t>
      </w:r>
      <w:r w:rsidRPr="007E7F5D">
        <w:rPr>
          <w:rFonts w:ascii="Times New Roman" w:hAnsi="Times New Roman" w:cs="Times New Roman"/>
          <w:i/>
          <w:lang w:val="en-US"/>
        </w:rPr>
        <w:t>Global Innovation Index</w:t>
      </w:r>
      <w:r>
        <w:rPr>
          <w:rFonts w:ascii="Times New Roman" w:hAnsi="Times New Roman" w:cs="Times New Roman"/>
        </w:rPr>
        <w:t>), страната се представя по-добре по „</w:t>
      </w:r>
      <w:r w:rsidRPr="00050026">
        <w:rPr>
          <w:rFonts w:ascii="Times New Roman" w:hAnsi="Times New Roman" w:cs="Times New Roman"/>
          <w:i/>
        </w:rPr>
        <w:t>иновации на изхода</w:t>
      </w:r>
      <w:r>
        <w:rPr>
          <w:rFonts w:ascii="Times New Roman" w:hAnsi="Times New Roman" w:cs="Times New Roman"/>
        </w:rPr>
        <w:t>“ (композитен индикатор, оценяващ резултатите от иновационната дейност), в сравнение с „</w:t>
      </w:r>
      <w:r w:rsidRPr="00050026">
        <w:rPr>
          <w:rFonts w:ascii="Times New Roman" w:hAnsi="Times New Roman" w:cs="Times New Roman"/>
          <w:i/>
        </w:rPr>
        <w:t>иновациите на входа</w:t>
      </w:r>
      <w:r>
        <w:rPr>
          <w:rFonts w:ascii="Times New Roman" w:hAnsi="Times New Roman" w:cs="Times New Roman"/>
        </w:rPr>
        <w:t>“ (</w:t>
      </w:r>
      <w:r w:rsidRPr="007E7F5D">
        <w:rPr>
          <w:rFonts w:ascii="Times New Roman" w:hAnsi="Times New Roman" w:cs="Times New Roman"/>
        </w:rPr>
        <w:t xml:space="preserve">композитен индикатор, </w:t>
      </w:r>
      <w:r>
        <w:rPr>
          <w:rFonts w:ascii="Times New Roman" w:hAnsi="Times New Roman" w:cs="Times New Roman"/>
        </w:rPr>
        <w:t>измерващ състоянието на иновационната система). През 2017 г. страната заема съответно 34-то и 44-то място в света по тези два индикатора, като способността на системата да генерира резултат (ефективността й) нарежда България на 19-то място в света, изпреварвайки повече от половината държави – членки на ЕС, сред които и такива глобални лидери в областта на иновациите като Финландия и Дания.</w:t>
      </w:r>
      <w:r>
        <w:rPr>
          <w:rFonts w:ascii="Times New Roman" w:hAnsi="Times New Roman" w:cs="Times New Roman"/>
          <w:lang w:val="en-GB"/>
        </w:rPr>
        <w:t xml:space="preserve"> </w:t>
      </w:r>
      <w:r>
        <w:rPr>
          <w:rFonts w:ascii="Times New Roman" w:hAnsi="Times New Roman" w:cs="Times New Roman"/>
        </w:rPr>
        <w:t xml:space="preserve">Съотношението между двата показателя подсказва, че резултатите </w:t>
      </w:r>
      <w:r w:rsidRPr="009D5E79">
        <w:rPr>
          <w:rFonts w:ascii="Times New Roman" w:hAnsi="Times New Roman" w:cs="Times New Roman"/>
        </w:rPr>
        <w:t xml:space="preserve">от иновационната дейност </w:t>
      </w:r>
      <w:r>
        <w:rPr>
          <w:rFonts w:ascii="Times New Roman" w:hAnsi="Times New Roman" w:cs="Times New Roman"/>
        </w:rPr>
        <w:t xml:space="preserve">– доколкото ги има – идват по-скоро </w:t>
      </w:r>
      <w:r w:rsidRPr="009D5E79">
        <w:rPr>
          <w:rFonts w:ascii="Times New Roman" w:hAnsi="Times New Roman" w:cs="Times New Roman"/>
          <w:i/>
        </w:rPr>
        <w:t>въпреки</w:t>
      </w:r>
      <w:r>
        <w:rPr>
          <w:rFonts w:ascii="Times New Roman" w:hAnsi="Times New Roman" w:cs="Times New Roman"/>
        </w:rPr>
        <w:t xml:space="preserve"> иновационната система, а не </w:t>
      </w:r>
      <w:r w:rsidRPr="009D5E79">
        <w:rPr>
          <w:rFonts w:ascii="Times New Roman" w:hAnsi="Times New Roman" w:cs="Times New Roman"/>
          <w:i/>
        </w:rPr>
        <w:t>заради</w:t>
      </w:r>
      <w:r>
        <w:rPr>
          <w:rFonts w:ascii="Times New Roman" w:hAnsi="Times New Roman" w:cs="Times New Roman"/>
        </w:rPr>
        <w:t xml:space="preserve"> нея.</w:t>
      </w:r>
    </w:p>
    <w:p w:rsidR="00AE0F90" w:rsidRPr="00DC4A4B" w:rsidRDefault="00AE0F90" w:rsidP="00AE0F90">
      <w:pPr>
        <w:pStyle w:val="ListParagraph"/>
        <w:spacing w:line="269" w:lineRule="auto"/>
        <w:ind w:left="0" w:firstLine="0"/>
        <w:contextualSpacing w:val="0"/>
        <w:jc w:val="both"/>
        <w:rPr>
          <w:rFonts w:ascii="Times New Roman" w:hAnsi="Times New Roman" w:cs="Times New Roman"/>
        </w:rPr>
      </w:pPr>
      <w:r w:rsidRPr="007D35AC">
        <w:rPr>
          <w:rFonts w:ascii="Times New Roman" w:hAnsi="Times New Roman" w:cs="Times New Roman"/>
        </w:rPr>
        <w:t>Иновационната стратегия за интелигентна специализация на Република България 2014-2020 г.</w:t>
      </w:r>
      <w:r w:rsidRPr="007D35AC">
        <w:rPr>
          <w:rStyle w:val="FootnoteReference"/>
          <w:rFonts w:ascii="Times New Roman" w:hAnsi="Times New Roman"/>
        </w:rPr>
        <w:footnoteReference w:id="63"/>
      </w:r>
      <w:r w:rsidRPr="007D35AC">
        <w:rPr>
          <w:rFonts w:ascii="Times New Roman" w:hAnsi="Times New Roman" w:cs="Times New Roman"/>
        </w:rPr>
        <w:t xml:space="preserve"> поставя амбициозната цел пред страната до 2020 г. да подобри представянето си в европейския иновационен индекс и от „</w:t>
      </w:r>
      <w:r w:rsidRPr="003C0729">
        <w:rPr>
          <w:rFonts w:ascii="Times New Roman" w:hAnsi="Times New Roman" w:cs="Times New Roman"/>
          <w:i/>
        </w:rPr>
        <w:t>скромен иноватор</w:t>
      </w:r>
      <w:r w:rsidRPr="007D35AC">
        <w:rPr>
          <w:rFonts w:ascii="Times New Roman" w:hAnsi="Times New Roman" w:cs="Times New Roman"/>
        </w:rPr>
        <w:t>“ да бъде квалифицирана като „</w:t>
      </w:r>
      <w:r w:rsidRPr="003C0729">
        <w:rPr>
          <w:rFonts w:ascii="Times New Roman" w:hAnsi="Times New Roman" w:cs="Times New Roman"/>
          <w:i/>
        </w:rPr>
        <w:t>умерен иноватор</w:t>
      </w:r>
      <w:r w:rsidRPr="007D35AC">
        <w:rPr>
          <w:rFonts w:ascii="Times New Roman" w:hAnsi="Times New Roman" w:cs="Times New Roman"/>
        </w:rPr>
        <w:t>“.</w:t>
      </w:r>
      <w:r>
        <w:rPr>
          <w:rFonts w:ascii="Times New Roman" w:hAnsi="Times New Roman" w:cs="Times New Roman"/>
        </w:rPr>
        <w:t xml:space="preserve"> При това стратегията предлага необходимия инструментариум, финансова обезпеченост, курс на политиката и механизми, които да доведат до оползотворяване на иновационния потенциал на страната. Качествен скок за политиката в областта на иновациите и НИРД представлява дефинирането на секторите с потенциал за растеж, в които страната има конкурентни предимства, и обявеното намерение за ф</w:t>
      </w:r>
      <w:r w:rsidRPr="003C4848">
        <w:rPr>
          <w:rFonts w:ascii="Times New Roman" w:hAnsi="Times New Roman" w:cs="Times New Roman"/>
        </w:rPr>
        <w:t xml:space="preserve">окусиране на инвестициите </w:t>
      </w:r>
      <w:r>
        <w:rPr>
          <w:rFonts w:ascii="Times New Roman" w:hAnsi="Times New Roman" w:cs="Times New Roman"/>
        </w:rPr>
        <w:t xml:space="preserve">(както от националния бюджет, така и по две оперативни програми) </w:t>
      </w:r>
      <w:r w:rsidRPr="003C4848">
        <w:rPr>
          <w:rFonts w:ascii="Times New Roman" w:hAnsi="Times New Roman" w:cs="Times New Roman"/>
        </w:rPr>
        <w:t>за развитие на иновационния потенциал в идентифицираните тематични области</w:t>
      </w:r>
      <w:r>
        <w:rPr>
          <w:rFonts w:ascii="Times New Roman" w:hAnsi="Times New Roman" w:cs="Times New Roman"/>
        </w:rPr>
        <w:t>, продуктови групи и ниши</w:t>
      </w:r>
      <w:r w:rsidR="00AA3CB5">
        <w:rPr>
          <w:rFonts w:ascii="Times New Roman" w:hAnsi="Times New Roman" w:cs="Times New Roman"/>
        </w:rPr>
        <w:t xml:space="preserve"> и тяхното регионално измерение</w:t>
      </w:r>
      <w:r>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lang w:val="en-US"/>
        </w:rPr>
      </w:pPr>
      <w:r w:rsidRPr="003A1AB0">
        <w:rPr>
          <w:rFonts w:ascii="Times New Roman" w:hAnsi="Times New Roman" w:cs="Times New Roman"/>
        </w:rPr>
        <w:t xml:space="preserve">Важен фактор за развитието на научноизследователската дейност е </w:t>
      </w:r>
      <w:r w:rsidR="005B41D8">
        <w:rPr>
          <w:rFonts w:ascii="Times New Roman" w:hAnsi="Times New Roman" w:cs="Times New Roman"/>
        </w:rPr>
        <w:t xml:space="preserve">и </w:t>
      </w:r>
      <w:r w:rsidRPr="003A1AB0">
        <w:rPr>
          <w:rFonts w:ascii="Times New Roman" w:hAnsi="Times New Roman" w:cs="Times New Roman"/>
        </w:rPr>
        <w:t xml:space="preserve">достъпът до модерна </w:t>
      </w:r>
      <w:r w:rsidRPr="003A1AB0">
        <w:rPr>
          <w:rFonts w:ascii="Times New Roman" w:eastAsia="Calibri" w:hAnsi="Times New Roman" w:cs="Times New Roman"/>
          <w:b/>
          <w:color w:val="365F91"/>
          <w:lang w:eastAsia="en-US"/>
        </w:rPr>
        <w:t>научноизследователска инфраструктура</w:t>
      </w:r>
      <w:r w:rsidRPr="003A1AB0">
        <w:rPr>
          <w:rFonts w:ascii="Times New Roman" w:hAnsi="Times New Roman" w:cs="Times New Roman"/>
        </w:rPr>
        <w:t xml:space="preserve"> (НИИ). Научноизследователските инфраструктури създават благоприятна среда за развитие на триъгълника на знанието – образование, научни </w:t>
      </w:r>
      <w:r w:rsidRPr="003A1AB0">
        <w:rPr>
          <w:rFonts w:ascii="Times New Roman" w:hAnsi="Times New Roman" w:cs="Times New Roman"/>
        </w:rPr>
        <w:lastRenderedPageBreak/>
        <w:t>изследвания и иновации, а същевременно служат и като центрове за трансфер на знания, иновации и технологии от научните организации към  индустрията. Добрата НИИ позволява да се комерсиализират онези научни резултати, които се развиват в иновативни продукти и услуги, подобряващи конкурентоспособността в свободния пазар.</w:t>
      </w:r>
      <w:r>
        <w:rPr>
          <w:rFonts w:ascii="Times New Roman" w:hAnsi="Times New Roman" w:cs="Times New Roman"/>
        </w:rPr>
        <w:t xml:space="preserve"> </w:t>
      </w:r>
      <w:r w:rsidR="005B41D8">
        <w:rPr>
          <w:rFonts w:ascii="Times New Roman" w:hAnsi="Times New Roman" w:cs="Times New Roman"/>
        </w:rPr>
        <w:t xml:space="preserve">Прегледът, </w:t>
      </w:r>
      <w:r>
        <w:rPr>
          <w:rFonts w:ascii="Times New Roman" w:hAnsi="Times New Roman" w:cs="Times New Roman"/>
        </w:rPr>
        <w:t>п</w:t>
      </w:r>
      <w:r w:rsidRPr="002046CF">
        <w:rPr>
          <w:rFonts w:ascii="Times New Roman" w:hAnsi="Times New Roman" w:cs="Times New Roman"/>
        </w:rPr>
        <w:t>роведен през 2017 г., свързан с инфраструктурите за научни изследвания в България</w:t>
      </w:r>
      <w:r w:rsidRPr="002046CF">
        <w:rPr>
          <w:rStyle w:val="FootnoteReference"/>
          <w:rFonts w:ascii="Times New Roman" w:hAnsi="Times New Roman"/>
        </w:rPr>
        <w:footnoteReference w:id="64"/>
      </w:r>
      <w:r w:rsidRPr="002046CF">
        <w:rPr>
          <w:rFonts w:ascii="Times New Roman" w:hAnsi="Times New Roman" w:cs="Times New Roman"/>
        </w:rPr>
        <w:t>,</w:t>
      </w:r>
      <w:r>
        <w:rPr>
          <w:rFonts w:ascii="Times New Roman" w:hAnsi="Times New Roman" w:cs="Times New Roman"/>
        </w:rPr>
        <w:t xml:space="preserve"> показва н</w:t>
      </w:r>
      <w:r w:rsidRPr="004C6AFF">
        <w:rPr>
          <w:rFonts w:ascii="Times New Roman" w:hAnsi="Times New Roman" w:cs="Times New Roman"/>
        </w:rPr>
        <w:t>еравномерно териториално и тематично разпределение на НИИ</w:t>
      </w:r>
      <w:r>
        <w:rPr>
          <w:rFonts w:ascii="Times New Roman" w:hAnsi="Times New Roman" w:cs="Times New Roman"/>
        </w:rPr>
        <w:t xml:space="preserve"> при цялостна липса на </w:t>
      </w:r>
      <w:r w:rsidRPr="004C6AFF">
        <w:rPr>
          <w:rFonts w:ascii="Times New Roman" w:hAnsi="Times New Roman" w:cs="Times New Roman"/>
        </w:rPr>
        <w:t>достатъчно модерни инфраструктури, които да отговарят на съвременните изисквания</w:t>
      </w:r>
      <w:r>
        <w:rPr>
          <w:rFonts w:ascii="Times New Roman" w:hAnsi="Times New Roman" w:cs="Times New Roman"/>
        </w:rPr>
        <w:t>;</w:t>
      </w:r>
      <w:r w:rsidRPr="004C6AFF">
        <w:rPr>
          <w:rFonts w:ascii="Times New Roman" w:hAnsi="Times New Roman" w:cs="Times New Roman"/>
        </w:rPr>
        <w:t xml:space="preserve"> </w:t>
      </w:r>
      <w:r w:rsidR="007A25E9" w:rsidRPr="007A25E9">
        <w:rPr>
          <w:rFonts w:ascii="Times New Roman" w:hAnsi="Times New Roman" w:cs="Times New Roman"/>
        </w:rPr>
        <w:t>като цяло ниско участие на университетите в тях;</w:t>
      </w:r>
      <w:r w:rsidR="007A25E9">
        <w:rPr>
          <w:rFonts w:ascii="Times New Roman" w:hAnsi="Times New Roman" w:cs="Times New Roman"/>
        </w:rPr>
        <w:t xml:space="preserve"> </w:t>
      </w:r>
      <w:r>
        <w:rPr>
          <w:rFonts w:ascii="Times New Roman" w:hAnsi="Times New Roman" w:cs="Times New Roman"/>
        </w:rPr>
        <w:t>н</w:t>
      </w:r>
      <w:r w:rsidRPr="004C6AFF">
        <w:rPr>
          <w:rFonts w:ascii="Times New Roman" w:hAnsi="Times New Roman" w:cs="Times New Roman"/>
        </w:rPr>
        <w:t>еадекватно управление  на съществуващите научни съоръжения, неефективна натовареност и поддържане</w:t>
      </w:r>
      <w:r>
        <w:rPr>
          <w:rFonts w:ascii="Times New Roman" w:hAnsi="Times New Roman" w:cs="Times New Roman"/>
        </w:rPr>
        <w:t>; н</w:t>
      </w:r>
      <w:r w:rsidRPr="004C6AFF">
        <w:rPr>
          <w:rFonts w:ascii="Times New Roman" w:hAnsi="Times New Roman" w:cs="Times New Roman"/>
        </w:rPr>
        <w:t xml:space="preserve">еадекватно квалифициран персонал за поддръжка на научното оборудване; </w:t>
      </w:r>
      <w:r>
        <w:rPr>
          <w:rFonts w:ascii="Times New Roman" w:hAnsi="Times New Roman" w:cs="Times New Roman"/>
        </w:rPr>
        <w:t>ф</w:t>
      </w:r>
      <w:r w:rsidRPr="004C6AFF">
        <w:rPr>
          <w:rFonts w:ascii="Times New Roman" w:hAnsi="Times New Roman" w:cs="Times New Roman"/>
        </w:rPr>
        <w:t>инансова нестабилност и неадекватна ангажираност от страна на частния сектор</w:t>
      </w:r>
      <w:r>
        <w:rPr>
          <w:rFonts w:ascii="Times New Roman" w:hAnsi="Times New Roman" w:cs="Times New Roman"/>
        </w:rPr>
        <w:t xml:space="preserve">. Националната пътна карта за научна инфраструктура (2017-2023 г.) </w:t>
      </w:r>
      <w:proofErr w:type="spellStart"/>
      <w:r>
        <w:rPr>
          <w:rFonts w:ascii="Times New Roman" w:hAnsi="Times New Roman" w:cs="Times New Roman"/>
        </w:rPr>
        <w:t>приоритизира</w:t>
      </w:r>
      <w:proofErr w:type="spellEnd"/>
      <w:r>
        <w:rPr>
          <w:rFonts w:ascii="Times New Roman" w:hAnsi="Times New Roman" w:cs="Times New Roman"/>
        </w:rPr>
        <w:t xml:space="preserve"> публичната </w:t>
      </w:r>
      <w:r w:rsidRPr="005E2C1C">
        <w:rPr>
          <w:rFonts w:ascii="Times New Roman" w:hAnsi="Times New Roman" w:cs="Times New Roman"/>
        </w:rPr>
        <w:t>подкрепа</w:t>
      </w:r>
      <w:r>
        <w:rPr>
          <w:rFonts w:ascii="Times New Roman" w:hAnsi="Times New Roman" w:cs="Times New Roman"/>
        </w:rPr>
        <w:t xml:space="preserve"> към</w:t>
      </w:r>
      <w:r w:rsidRPr="005E2C1C">
        <w:rPr>
          <w:rFonts w:ascii="Times New Roman" w:hAnsi="Times New Roman" w:cs="Times New Roman"/>
        </w:rPr>
        <w:t xml:space="preserve"> най-добре развитите инфраструктури, с потенциал в тематичните  области</w:t>
      </w:r>
      <w:r>
        <w:rPr>
          <w:rFonts w:ascii="Times New Roman" w:hAnsi="Times New Roman" w:cs="Times New Roman"/>
        </w:rPr>
        <w:t xml:space="preserve">, определени в </w:t>
      </w:r>
      <w:r w:rsidRPr="004C6AFF">
        <w:rPr>
          <w:rFonts w:ascii="Times New Roman" w:hAnsi="Times New Roman" w:cs="Times New Roman"/>
        </w:rPr>
        <w:t>Иновационната стратегия за интелигентна специализация на Република България 2014-2020 г.</w:t>
      </w:r>
      <w:r>
        <w:rPr>
          <w:rFonts w:ascii="Times New Roman" w:hAnsi="Times New Roman" w:cs="Times New Roman"/>
        </w:rPr>
        <w:t xml:space="preserve">, както на </w:t>
      </w:r>
      <w:r w:rsidRPr="005E2C1C">
        <w:rPr>
          <w:rFonts w:ascii="Times New Roman" w:hAnsi="Times New Roman" w:cs="Times New Roman"/>
        </w:rPr>
        <w:t>национално</w:t>
      </w:r>
      <w:r>
        <w:rPr>
          <w:rFonts w:ascii="Times New Roman" w:hAnsi="Times New Roman" w:cs="Times New Roman"/>
        </w:rPr>
        <w:t>,</w:t>
      </w:r>
      <w:r w:rsidRPr="005E2C1C">
        <w:rPr>
          <w:rFonts w:ascii="Times New Roman" w:hAnsi="Times New Roman" w:cs="Times New Roman"/>
        </w:rPr>
        <w:t xml:space="preserve"> </w:t>
      </w:r>
      <w:r>
        <w:rPr>
          <w:rFonts w:ascii="Times New Roman" w:hAnsi="Times New Roman" w:cs="Times New Roman"/>
        </w:rPr>
        <w:t>така</w:t>
      </w:r>
      <w:r w:rsidRPr="005E2C1C">
        <w:rPr>
          <w:rFonts w:ascii="Times New Roman" w:hAnsi="Times New Roman" w:cs="Times New Roman"/>
        </w:rPr>
        <w:t xml:space="preserve"> и </w:t>
      </w:r>
      <w:r>
        <w:rPr>
          <w:rFonts w:ascii="Times New Roman" w:hAnsi="Times New Roman" w:cs="Times New Roman"/>
        </w:rPr>
        <w:t xml:space="preserve">на </w:t>
      </w:r>
      <w:r w:rsidRPr="005E2C1C">
        <w:rPr>
          <w:rFonts w:ascii="Times New Roman" w:hAnsi="Times New Roman" w:cs="Times New Roman"/>
        </w:rPr>
        <w:t>регионално  ниво.</w:t>
      </w:r>
      <w:r>
        <w:rPr>
          <w:rFonts w:ascii="Times New Roman" w:hAnsi="Times New Roman" w:cs="Times New Roman"/>
        </w:rPr>
        <w:t xml:space="preserve"> </w:t>
      </w:r>
      <w:r w:rsidRPr="004C6AFF">
        <w:rPr>
          <w:rFonts w:ascii="Times New Roman" w:hAnsi="Times New Roman" w:cs="Times New Roman"/>
        </w:rPr>
        <w:t>Подобряването на инфраструктурата би довело до значително разширяване на възможностите на българските учени да провеждат висококачествени научни изследвания на световно ниво и директно би подпомогнало развитието на високотехнологична индустрия в страната.</w:t>
      </w:r>
    </w:p>
    <w:p w:rsidR="00AE0F90" w:rsidRPr="00DB5EFA" w:rsidRDefault="00AE0F90" w:rsidP="00AE0F90">
      <w:pPr>
        <w:pStyle w:val="Heading3"/>
        <w:numPr>
          <w:ilvl w:val="2"/>
          <w:numId w:val="16"/>
        </w:numPr>
        <w:rPr>
          <w:color w:val="1F497D"/>
        </w:rPr>
      </w:pPr>
      <w:bookmarkStart w:id="25" w:name="_Toc525196970"/>
      <w:bookmarkStart w:id="26" w:name="_Toc791812"/>
      <w:r w:rsidRPr="00DB5EFA">
        <w:rPr>
          <w:color w:val="1F497D"/>
        </w:rPr>
        <w:t>Информационни и комуникационни технологии и цифрова икономика</w:t>
      </w:r>
      <w:bookmarkEnd w:id="25"/>
      <w:bookmarkEnd w:id="26"/>
    </w:p>
    <w:p w:rsidR="00AE0F90" w:rsidRDefault="00AE0F90" w:rsidP="00AE0F90">
      <w:pPr>
        <w:pStyle w:val="ListParagraph"/>
        <w:spacing w:line="269" w:lineRule="auto"/>
        <w:ind w:left="0" w:firstLine="0"/>
        <w:contextualSpacing w:val="0"/>
        <w:jc w:val="both"/>
        <w:rPr>
          <w:rFonts w:ascii="Times New Roman" w:hAnsi="Times New Roman" w:cs="Times New Roman"/>
          <w:i/>
        </w:rPr>
      </w:pPr>
      <w:r>
        <w:rPr>
          <w:rFonts w:ascii="Times New Roman" w:hAnsi="Times New Roman" w:cs="Times New Roman"/>
          <w:i/>
        </w:rPr>
        <w:t>Секторът на и</w:t>
      </w:r>
      <w:r w:rsidRPr="00FD3775">
        <w:rPr>
          <w:rFonts w:ascii="Times New Roman" w:hAnsi="Times New Roman" w:cs="Times New Roman"/>
          <w:i/>
        </w:rPr>
        <w:t>нформационн</w:t>
      </w:r>
      <w:r>
        <w:rPr>
          <w:rFonts w:ascii="Times New Roman" w:hAnsi="Times New Roman" w:cs="Times New Roman"/>
          <w:i/>
        </w:rPr>
        <w:t xml:space="preserve">ите и комуникационни технологии в страната се развива динамично, увеличавайки приноса си в добавената стойност, заетостта и износа. ИКТ са </w:t>
      </w:r>
      <w:r w:rsidRPr="002434F9">
        <w:rPr>
          <w:rFonts w:ascii="Times New Roman" w:hAnsi="Times New Roman" w:cs="Times New Roman"/>
          <w:i/>
        </w:rPr>
        <w:t>основен двигател на цифровата революция</w:t>
      </w:r>
      <w:r>
        <w:rPr>
          <w:rFonts w:ascii="Times New Roman" w:hAnsi="Times New Roman" w:cs="Times New Roman"/>
          <w:i/>
        </w:rPr>
        <w:t xml:space="preserve"> в глобален план, но въпреки някои сравнителни предимства, България изостава в дигитализирането на икономиката си. </w:t>
      </w:r>
      <w:r w:rsidRPr="00DD412B">
        <w:rPr>
          <w:rFonts w:ascii="Times New Roman" w:hAnsi="Times New Roman" w:cs="Times New Roman"/>
          <w:i/>
        </w:rPr>
        <w:t>Въпреки че по оперативните програми се подкрепят проекти, свързани с насърчаване цифровизацията сред бизнеса</w:t>
      </w:r>
      <w:r>
        <w:rPr>
          <w:rFonts w:ascii="Times New Roman" w:hAnsi="Times New Roman" w:cs="Times New Roman"/>
          <w:i/>
        </w:rPr>
        <w:t>,</w:t>
      </w:r>
      <w:r w:rsidRPr="00DD412B">
        <w:rPr>
          <w:rFonts w:ascii="Times New Roman" w:hAnsi="Times New Roman" w:cs="Times New Roman"/>
          <w:i/>
        </w:rPr>
        <w:t xml:space="preserve"> </w:t>
      </w:r>
      <w:r>
        <w:rPr>
          <w:rFonts w:ascii="Times New Roman" w:hAnsi="Times New Roman" w:cs="Times New Roman"/>
          <w:i/>
        </w:rPr>
        <w:t>с</w:t>
      </w:r>
      <w:r w:rsidRPr="00DD412B">
        <w:rPr>
          <w:rFonts w:ascii="Times New Roman" w:hAnsi="Times New Roman" w:cs="Times New Roman"/>
          <w:i/>
        </w:rPr>
        <w:t>редната интензивност на цифровизиране на българските предприятия е едва 12%,</w:t>
      </w:r>
      <w:r>
        <w:rPr>
          <w:rFonts w:ascii="Times New Roman" w:hAnsi="Times New Roman" w:cs="Times New Roman"/>
          <w:i/>
        </w:rPr>
        <w:t xml:space="preserve"> като п</w:t>
      </w:r>
      <w:r w:rsidRPr="00DD412B">
        <w:rPr>
          <w:rFonts w:ascii="Times New Roman" w:hAnsi="Times New Roman" w:cs="Times New Roman"/>
          <w:i/>
        </w:rPr>
        <w:t xml:space="preserve">овече от 2/3 от предприятията в страната се характеризират с много нисък индекс на </w:t>
      </w:r>
      <w:r>
        <w:rPr>
          <w:rFonts w:ascii="Times New Roman" w:hAnsi="Times New Roman" w:cs="Times New Roman"/>
          <w:i/>
        </w:rPr>
        <w:t xml:space="preserve">дигитализация, което поставя под въпрос ефективността на прилаганите мерки. </w:t>
      </w:r>
      <w:r w:rsidRPr="002434F9">
        <w:rPr>
          <w:rFonts w:ascii="Times New Roman" w:hAnsi="Times New Roman" w:cs="Times New Roman"/>
          <w:i/>
        </w:rPr>
        <w:t xml:space="preserve">Основните предизвикателства пред </w:t>
      </w:r>
      <w:r>
        <w:rPr>
          <w:rFonts w:ascii="Times New Roman" w:hAnsi="Times New Roman" w:cs="Times New Roman"/>
          <w:i/>
        </w:rPr>
        <w:t>страната</w:t>
      </w:r>
      <w:r w:rsidRPr="002434F9">
        <w:rPr>
          <w:rFonts w:ascii="Times New Roman" w:hAnsi="Times New Roman" w:cs="Times New Roman"/>
          <w:i/>
        </w:rPr>
        <w:t xml:space="preserve"> са свързани с много ниското ниво на умения в областта на цифр</w:t>
      </w:r>
      <w:r>
        <w:rPr>
          <w:rFonts w:ascii="Times New Roman" w:hAnsi="Times New Roman" w:cs="Times New Roman"/>
          <w:i/>
        </w:rPr>
        <w:t xml:space="preserve">овите технологии у населението, </w:t>
      </w:r>
      <w:r w:rsidRPr="002434F9">
        <w:rPr>
          <w:rFonts w:ascii="Times New Roman" w:hAnsi="Times New Roman" w:cs="Times New Roman"/>
          <w:i/>
        </w:rPr>
        <w:t>наред с недостига на специалисти по ИКТ и недостатъчните инвестиции в цифрова инфраструктура.</w:t>
      </w:r>
      <w:r>
        <w:rPr>
          <w:rFonts w:ascii="Times New Roman" w:hAnsi="Times New Roman" w:cs="Times New Roman"/>
          <w:i/>
        </w:rPr>
        <w:t xml:space="preserve"> Налице е необходимост от интензифициране на усилията по </w:t>
      </w:r>
      <w:r w:rsidRPr="0015157B">
        <w:rPr>
          <w:rFonts w:ascii="Times New Roman" w:hAnsi="Times New Roman" w:cs="Times New Roman"/>
          <w:i/>
        </w:rPr>
        <w:t>подобр</w:t>
      </w:r>
      <w:r>
        <w:rPr>
          <w:rFonts w:ascii="Times New Roman" w:hAnsi="Times New Roman" w:cs="Times New Roman"/>
          <w:i/>
        </w:rPr>
        <w:t>яване</w:t>
      </w:r>
      <w:r w:rsidRPr="0015157B">
        <w:rPr>
          <w:rFonts w:ascii="Times New Roman" w:hAnsi="Times New Roman" w:cs="Times New Roman"/>
          <w:i/>
        </w:rPr>
        <w:t xml:space="preserve"> и ускор</w:t>
      </w:r>
      <w:r>
        <w:rPr>
          <w:rFonts w:ascii="Times New Roman" w:hAnsi="Times New Roman" w:cs="Times New Roman"/>
          <w:i/>
        </w:rPr>
        <w:t>яване</w:t>
      </w:r>
      <w:r w:rsidRPr="0015157B">
        <w:rPr>
          <w:rFonts w:ascii="Times New Roman" w:hAnsi="Times New Roman" w:cs="Times New Roman"/>
          <w:i/>
        </w:rPr>
        <w:t xml:space="preserve"> разгръщането на широколентовия достъп до интернет</w:t>
      </w:r>
      <w:r>
        <w:rPr>
          <w:rFonts w:ascii="Times New Roman" w:hAnsi="Times New Roman" w:cs="Times New Roman"/>
          <w:i/>
        </w:rPr>
        <w:t>,</w:t>
      </w:r>
      <w:r w:rsidRPr="0015157B">
        <w:rPr>
          <w:rFonts w:ascii="Times New Roman" w:hAnsi="Times New Roman" w:cs="Times New Roman"/>
          <w:i/>
        </w:rPr>
        <w:t xml:space="preserve"> </w:t>
      </w:r>
      <w:r>
        <w:rPr>
          <w:rFonts w:ascii="Times New Roman" w:hAnsi="Times New Roman" w:cs="Times New Roman"/>
          <w:i/>
        </w:rPr>
        <w:t xml:space="preserve">предвид основополагащата роля на </w:t>
      </w:r>
      <w:r w:rsidRPr="0015157B">
        <w:rPr>
          <w:rFonts w:ascii="Times New Roman" w:hAnsi="Times New Roman" w:cs="Times New Roman"/>
          <w:i/>
        </w:rPr>
        <w:t>модерна</w:t>
      </w:r>
      <w:r>
        <w:rPr>
          <w:rFonts w:ascii="Times New Roman" w:hAnsi="Times New Roman" w:cs="Times New Roman"/>
          <w:i/>
        </w:rPr>
        <w:t>та</w:t>
      </w:r>
      <w:r w:rsidRPr="0015157B">
        <w:rPr>
          <w:rFonts w:ascii="Times New Roman" w:hAnsi="Times New Roman" w:cs="Times New Roman"/>
          <w:i/>
        </w:rPr>
        <w:t xml:space="preserve"> широколентовата инфраструктура за постигането на т.нар. цифров растеж</w:t>
      </w:r>
      <w:r>
        <w:rPr>
          <w:rFonts w:ascii="Times New Roman" w:hAnsi="Times New Roman" w:cs="Times New Roman"/>
          <w:i/>
        </w:rPr>
        <w:t xml:space="preserve">. Същевременно, трябва да бъдат предприети действия за повишаване на ефективността на изпълняваните мерки за повишаване на цифровите умения на населението, а обхватът им да бъде увеличен значително при </w:t>
      </w:r>
      <w:r w:rsidRPr="00DD412B">
        <w:rPr>
          <w:rFonts w:ascii="Times New Roman" w:hAnsi="Times New Roman" w:cs="Times New Roman"/>
          <w:i/>
        </w:rPr>
        <w:t>разгръщане на</w:t>
      </w:r>
      <w:r>
        <w:rPr>
          <w:rFonts w:ascii="Times New Roman" w:hAnsi="Times New Roman" w:cs="Times New Roman"/>
          <w:i/>
        </w:rPr>
        <w:t xml:space="preserve"> партньорства с частния сектор.</w:t>
      </w:r>
    </w:p>
    <w:p w:rsidR="00AE0F90" w:rsidRPr="00DA0F0A" w:rsidRDefault="00AE0F90" w:rsidP="00AE0F90">
      <w:pPr>
        <w:pStyle w:val="ListParagraph"/>
        <w:spacing w:line="269" w:lineRule="auto"/>
        <w:ind w:left="0" w:firstLine="0"/>
        <w:contextualSpacing w:val="0"/>
        <w:jc w:val="both"/>
        <w:rPr>
          <w:rFonts w:ascii="Times New Roman" w:hAnsi="Times New Roman" w:cs="Times New Roman"/>
        </w:rPr>
      </w:pPr>
      <w:r w:rsidRPr="00DA0F0A">
        <w:rPr>
          <w:rFonts w:ascii="Times New Roman" w:eastAsia="Calibri" w:hAnsi="Times New Roman" w:cs="Times New Roman"/>
          <w:b/>
          <w:color w:val="365F91"/>
          <w:lang w:eastAsia="en-US"/>
        </w:rPr>
        <w:t>Информационните и комуникационни технологии</w:t>
      </w:r>
      <w:r w:rsidRPr="00DA0F0A">
        <w:rPr>
          <w:rFonts w:ascii="Times New Roman" w:hAnsi="Times New Roman" w:cs="Times New Roman"/>
        </w:rPr>
        <w:t xml:space="preserve"> привличат</w:t>
      </w:r>
      <w:r w:rsidRPr="00953C92">
        <w:rPr>
          <w:rFonts w:ascii="Times New Roman" w:hAnsi="Times New Roman" w:cs="Times New Roman"/>
        </w:rPr>
        <w:t xml:space="preserve"> все повече внимание като един от най-бързо развиващите се сектори в страната, с много високо заплащане и добри условия на труд. Постепенно ИКТ секторът придобива все по-голямо значение за икономиката на България като цяло, а развитието на сектора в бъдеще може да се окаже определящо за процеса на догонване и растежа на благосъстоянието. </w:t>
      </w:r>
      <w:r>
        <w:rPr>
          <w:rFonts w:ascii="Times New Roman" w:hAnsi="Times New Roman" w:cs="Times New Roman"/>
        </w:rPr>
        <w:t>В периода след икономическата криза отбелязаният от сектора ръст на добавената стойност изпреварва значително средния за икономиката, в резултат на което регистрира нарастване на относителния си дял в структурата на добавената стойност до 6.2% през 2016 г., като по този начин страната изпреварва редица държави – членки на ЕС. Паралелно нараства и тежестта му в заетостта (2.5% от общия брой заети в икономиката през 2017 г.).</w:t>
      </w:r>
      <w:r w:rsidRPr="00DA0F0A">
        <w:rPr>
          <w:rFonts w:ascii="Times New Roman" w:hAnsi="Times New Roman" w:cs="Times New Roman"/>
        </w:rPr>
        <w:t xml:space="preserve"> </w:t>
      </w:r>
      <w:r w:rsidRPr="00DB1906">
        <w:rPr>
          <w:rFonts w:ascii="Times New Roman" w:hAnsi="Times New Roman" w:cs="Times New Roman"/>
        </w:rPr>
        <w:t>Секторът има значителен потенциал за иновации и експортно-ориентиран растеж.</w:t>
      </w:r>
      <w:r>
        <w:rPr>
          <w:rFonts w:ascii="Times New Roman" w:hAnsi="Times New Roman" w:cs="Times New Roman"/>
        </w:rPr>
        <w:t xml:space="preserve"> Разходите за НИРД в сектора формират 11%</w:t>
      </w:r>
      <w:r>
        <w:rPr>
          <w:rStyle w:val="FootnoteReference"/>
          <w:rFonts w:ascii="Times New Roman" w:hAnsi="Times New Roman"/>
        </w:rPr>
        <w:footnoteReference w:id="65"/>
      </w:r>
      <w:r>
        <w:rPr>
          <w:rFonts w:ascii="Times New Roman" w:hAnsi="Times New Roman" w:cs="Times New Roman"/>
        </w:rPr>
        <w:t xml:space="preserve"> от общите разходи за НИРД в икономиката. Приходите от износ на групировката „</w:t>
      </w:r>
      <w:r w:rsidRPr="00875BBC">
        <w:rPr>
          <w:rFonts w:ascii="Times New Roman" w:hAnsi="Times New Roman" w:cs="Times New Roman"/>
          <w:i/>
        </w:rPr>
        <w:t xml:space="preserve">Далекосъобщителни, </w:t>
      </w:r>
      <w:r w:rsidRPr="00875BBC">
        <w:rPr>
          <w:rFonts w:ascii="Times New Roman" w:hAnsi="Times New Roman" w:cs="Times New Roman"/>
          <w:i/>
        </w:rPr>
        <w:lastRenderedPageBreak/>
        <w:t>компютърни и информационни услуги</w:t>
      </w:r>
      <w:r>
        <w:rPr>
          <w:rFonts w:ascii="Times New Roman" w:hAnsi="Times New Roman" w:cs="Times New Roman"/>
        </w:rPr>
        <w:t>“ се удвояват в годините след кризата и достигат 1 млрд. евро през 2017 г, формирайки почти 13%</w:t>
      </w:r>
      <w:r>
        <w:rPr>
          <w:rStyle w:val="FootnoteReference"/>
          <w:rFonts w:ascii="Times New Roman" w:hAnsi="Times New Roman" w:cs="Times New Roman"/>
        </w:rPr>
        <w:footnoteReference w:id="66"/>
      </w:r>
      <w:r>
        <w:rPr>
          <w:rFonts w:ascii="Times New Roman" w:hAnsi="Times New Roman" w:cs="Times New Roman"/>
        </w:rPr>
        <w:t xml:space="preserve"> от целия износ на услуги на страната. </w:t>
      </w:r>
    </w:p>
    <w:p w:rsidR="00AE0F90" w:rsidRPr="00875BBC" w:rsidRDefault="00AE0F90" w:rsidP="00AE0F90">
      <w:pPr>
        <w:pStyle w:val="ListParagraph"/>
        <w:spacing w:line="269" w:lineRule="auto"/>
        <w:ind w:left="0" w:firstLine="0"/>
        <w:contextualSpacing w:val="0"/>
        <w:jc w:val="both"/>
        <w:rPr>
          <w:rFonts w:ascii="Times New Roman" w:hAnsi="Times New Roman" w:cs="Times New Roman"/>
        </w:rPr>
      </w:pPr>
      <w:r w:rsidRPr="00875BBC">
        <w:rPr>
          <w:rFonts w:ascii="Times New Roman" w:hAnsi="Times New Roman" w:cs="Times New Roman"/>
        </w:rPr>
        <w:t>Като препятствие пред по-бурното развитие на сектора следва да се изтъкне недостигът на ИКТ специалисти</w:t>
      </w:r>
      <w:r w:rsidRPr="00FD3775">
        <w:rPr>
          <w:rFonts w:ascii="Times New Roman" w:hAnsi="Times New Roman" w:cs="Times New Roman"/>
        </w:rPr>
        <w:t xml:space="preserve"> </w:t>
      </w:r>
      <w:r>
        <w:rPr>
          <w:rFonts w:ascii="Times New Roman" w:hAnsi="Times New Roman" w:cs="Times New Roman"/>
        </w:rPr>
        <w:t>в страната</w:t>
      </w:r>
      <w:r w:rsidRPr="00875BBC">
        <w:rPr>
          <w:rFonts w:ascii="Times New Roman" w:hAnsi="Times New Roman" w:cs="Times New Roman"/>
        </w:rPr>
        <w:t xml:space="preserve">. </w:t>
      </w:r>
      <w:r>
        <w:rPr>
          <w:rFonts w:ascii="Times New Roman" w:hAnsi="Times New Roman" w:cs="Times New Roman"/>
        </w:rPr>
        <w:t xml:space="preserve">Икономически активните </w:t>
      </w:r>
      <w:r w:rsidRPr="00875BBC">
        <w:rPr>
          <w:rFonts w:ascii="Times New Roman" w:hAnsi="Times New Roman" w:cs="Times New Roman"/>
        </w:rPr>
        <w:t xml:space="preserve">лица с ИКТ образование </w:t>
      </w:r>
      <w:r>
        <w:rPr>
          <w:rFonts w:ascii="Times New Roman" w:hAnsi="Times New Roman" w:cs="Times New Roman"/>
        </w:rPr>
        <w:t>нарастват почти 5 пъти през последните десет години до 35 хил., но з</w:t>
      </w:r>
      <w:r w:rsidRPr="00875BBC">
        <w:rPr>
          <w:rFonts w:ascii="Times New Roman" w:hAnsi="Times New Roman" w:cs="Times New Roman"/>
        </w:rPr>
        <w:t xml:space="preserve">аетостта сред </w:t>
      </w:r>
      <w:r>
        <w:rPr>
          <w:rFonts w:ascii="Times New Roman" w:hAnsi="Times New Roman" w:cs="Times New Roman"/>
        </w:rPr>
        <w:t>тях остава неизменно висока (и над средното ниво в ЕС) и достига 98.6% през 2017 г., поставяйки България на второ място в ЕС в това отношение.</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533F13">
        <w:rPr>
          <w:rFonts w:ascii="Times New Roman" w:hAnsi="Times New Roman" w:cs="Times New Roman"/>
        </w:rPr>
        <w:t>Развитието на ИКТ в глобален план води до бурен технологичен напредък във всички сфери на човешката дейност и сериозно повлиява развитието на обществото. То предизвиква фундаментални промени във всички аспекти от функционирането му, а социално-икономическото му въздействие непрекъснато нараства. ИКТ са основен двигател на цифровата революция в Европа</w:t>
      </w:r>
      <w:r>
        <w:rPr>
          <w:rFonts w:ascii="Times New Roman" w:hAnsi="Times New Roman" w:cs="Times New Roman"/>
        </w:rPr>
        <w:t>,</w:t>
      </w:r>
      <w:r w:rsidRPr="00533F13">
        <w:rPr>
          <w:rFonts w:ascii="Times New Roman" w:hAnsi="Times New Roman" w:cs="Times New Roman"/>
        </w:rPr>
        <w:t xml:space="preserve"> </w:t>
      </w:r>
      <w:r>
        <w:rPr>
          <w:rFonts w:ascii="Times New Roman" w:hAnsi="Times New Roman" w:cs="Times New Roman"/>
        </w:rPr>
        <w:t>като същевременно</w:t>
      </w:r>
      <w:r w:rsidRPr="00533F13">
        <w:rPr>
          <w:rFonts w:ascii="Times New Roman" w:hAnsi="Times New Roman" w:cs="Times New Roman"/>
        </w:rPr>
        <w:t xml:space="preserve"> са и основополагащ фактор за изграждането на конкурентоспособна икономика, основана на знанието, за иновативно и приобщаващо информационно общество, осигуряващо високо качество на живот на гражданите.</w:t>
      </w:r>
    </w:p>
    <w:p w:rsidR="00AE0F90" w:rsidRPr="00817531"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t>Графика</w:t>
      </w:r>
      <w:r w:rsidR="00227FC6">
        <w:rPr>
          <w:rFonts w:ascii="Times New Roman" w:hAnsi="Times New Roman" w:cs="Times New Roman"/>
          <w:b/>
          <w:sz w:val="18"/>
          <w:szCs w:val="18"/>
        </w:rPr>
        <w:t xml:space="preserve"> 8.</w:t>
      </w:r>
      <w:r w:rsidRPr="00DC4A4B">
        <w:rPr>
          <w:rFonts w:ascii="Times New Roman" w:hAnsi="Times New Roman" w:cs="Times New Roman"/>
          <w:b/>
          <w:sz w:val="18"/>
          <w:szCs w:val="18"/>
        </w:rPr>
        <w:t xml:space="preserve"> </w:t>
      </w:r>
      <w:r w:rsidRPr="00817531">
        <w:rPr>
          <w:rFonts w:ascii="Times New Roman" w:hAnsi="Times New Roman" w:cs="Times New Roman"/>
          <w:b/>
          <w:sz w:val="18"/>
          <w:szCs w:val="18"/>
        </w:rPr>
        <w:t>DESI</w:t>
      </w:r>
      <w:r w:rsidRPr="001D5C3E">
        <w:rPr>
          <w:rFonts w:ascii="Times New Roman" w:hAnsi="Times New Roman" w:cs="Times New Roman"/>
          <w:b/>
          <w:sz w:val="18"/>
          <w:szCs w:val="18"/>
        </w:rPr>
        <w:t xml:space="preserve"> 2018</w:t>
      </w:r>
      <w:r>
        <w:rPr>
          <w:rFonts w:ascii="Times New Roman" w:hAnsi="Times New Roman" w:cs="Times New Roman"/>
          <w:b/>
          <w:sz w:val="18"/>
          <w:szCs w:val="18"/>
        </w:rPr>
        <w:t>:</w:t>
      </w:r>
      <w:r w:rsidRPr="001D5C3E">
        <w:rPr>
          <w:rFonts w:ascii="Times New Roman" w:hAnsi="Times New Roman" w:cs="Times New Roman"/>
          <w:b/>
          <w:sz w:val="18"/>
          <w:szCs w:val="18"/>
        </w:rPr>
        <w:t xml:space="preserve"> </w:t>
      </w:r>
      <w:r>
        <w:rPr>
          <w:rFonts w:ascii="Times New Roman" w:hAnsi="Times New Roman" w:cs="Times New Roman"/>
          <w:b/>
          <w:sz w:val="18"/>
          <w:szCs w:val="18"/>
        </w:rPr>
        <w:t>България и ЕС</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w:drawing>
          <wp:anchor distT="0" distB="0" distL="114300" distR="114300" simplePos="0" relativeHeight="251663872" behindDoc="0" locked="0" layoutInCell="1" allowOverlap="1" wp14:anchorId="0A4BAFE3" wp14:editId="14A7494C">
            <wp:simplePos x="0" y="0"/>
            <wp:positionH relativeFrom="column">
              <wp:posOffset>2958465</wp:posOffset>
            </wp:positionH>
            <wp:positionV relativeFrom="paragraph">
              <wp:posOffset>60325</wp:posOffset>
            </wp:positionV>
            <wp:extent cx="3159760" cy="1899285"/>
            <wp:effectExtent l="0" t="0" r="2540" b="571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59760" cy="189928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rPr>
        <w:t xml:space="preserve">България изостава спрямо другите държави – членки на ЕС по отношение на </w:t>
      </w:r>
      <w:r w:rsidRPr="00533F13">
        <w:rPr>
          <w:rFonts w:ascii="Times New Roman" w:eastAsia="Calibri" w:hAnsi="Times New Roman" w:cs="Times New Roman"/>
          <w:b/>
          <w:color w:val="365F91"/>
          <w:lang w:eastAsia="en-US"/>
        </w:rPr>
        <w:t>цифровизацията на икономиката</w:t>
      </w:r>
      <w:r>
        <w:rPr>
          <w:rFonts w:ascii="Times New Roman" w:hAnsi="Times New Roman" w:cs="Times New Roman"/>
        </w:rPr>
        <w:t xml:space="preserve">. </w:t>
      </w:r>
      <w:r w:rsidRPr="00231F6E">
        <w:rPr>
          <w:rFonts w:ascii="Times New Roman" w:hAnsi="Times New Roman" w:cs="Times New Roman"/>
        </w:rPr>
        <w:t>Индекс</w:t>
      </w:r>
      <w:r>
        <w:rPr>
          <w:rFonts w:ascii="Times New Roman" w:hAnsi="Times New Roman" w:cs="Times New Roman"/>
        </w:rPr>
        <w:t>ът з</w:t>
      </w:r>
      <w:r w:rsidRPr="00231F6E">
        <w:rPr>
          <w:rFonts w:ascii="Times New Roman" w:hAnsi="Times New Roman" w:cs="Times New Roman"/>
        </w:rPr>
        <w:t>а навлизането на цифровите технологии в икономиката и обществото</w:t>
      </w:r>
      <w:r>
        <w:rPr>
          <w:rFonts w:ascii="Times New Roman" w:hAnsi="Times New Roman" w:cs="Times New Roman"/>
        </w:rPr>
        <w:t xml:space="preserve"> </w:t>
      </w:r>
      <w:r w:rsidRPr="00231F6E">
        <w:rPr>
          <w:rFonts w:ascii="Times New Roman" w:hAnsi="Times New Roman" w:cs="Times New Roman"/>
        </w:rPr>
        <w:t>(</w:t>
      </w:r>
      <w:r w:rsidRPr="00533F13">
        <w:rPr>
          <w:rFonts w:ascii="Times New Roman" w:hAnsi="Times New Roman" w:cs="Times New Roman"/>
          <w:i/>
        </w:rPr>
        <w:t>DESI</w:t>
      </w:r>
      <w:r w:rsidRPr="00231F6E">
        <w:rPr>
          <w:rFonts w:ascii="Times New Roman" w:hAnsi="Times New Roman" w:cs="Times New Roman"/>
        </w:rPr>
        <w:t>)</w:t>
      </w:r>
      <w:r>
        <w:rPr>
          <w:rFonts w:ascii="Times New Roman" w:hAnsi="Times New Roman" w:cs="Times New Roman"/>
        </w:rPr>
        <w:t xml:space="preserve"> на ЕК за 2018 г. поставя страната на 26-то място в ЕС (пред Гърция и Румъния), в</w:t>
      </w:r>
      <w:r w:rsidRPr="00231F6E">
        <w:rPr>
          <w:rFonts w:ascii="Times New Roman" w:hAnsi="Times New Roman" w:cs="Times New Roman"/>
        </w:rPr>
        <w:t xml:space="preserve">  клъстера  на страните със слаби резултати</w:t>
      </w:r>
      <w:r>
        <w:rPr>
          <w:rFonts w:ascii="Times New Roman" w:hAnsi="Times New Roman" w:cs="Times New Roman"/>
        </w:rPr>
        <w:t xml:space="preserve">. </w:t>
      </w:r>
      <w:r w:rsidRPr="00231F6E">
        <w:rPr>
          <w:rFonts w:ascii="Times New Roman" w:hAnsi="Times New Roman" w:cs="Times New Roman"/>
        </w:rPr>
        <w:t>Основните предизвикателства пред България са свързани с много ниското ниво на умения в областта</w:t>
      </w:r>
      <w:r>
        <w:rPr>
          <w:rFonts w:ascii="Times New Roman" w:hAnsi="Times New Roman" w:cs="Times New Roman"/>
        </w:rPr>
        <w:t xml:space="preserve"> </w:t>
      </w:r>
      <w:r w:rsidRPr="00231F6E">
        <w:rPr>
          <w:rFonts w:ascii="Times New Roman" w:hAnsi="Times New Roman" w:cs="Times New Roman"/>
        </w:rPr>
        <w:t xml:space="preserve">на цифровите технологии у населението (както и сред младежите) и ниското ниво на внедряване на цифрови технологии в стопанската дейност. </w:t>
      </w:r>
      <w:r>
        <w:rPr>
          <w:rFonts w:ascii="Times New Roman" w:hAnsi="Times New Roman" w:cs="Times New Roman"/>
        </w:rPr>
        <w:t>Според ЕК, основните</w:t>
      </w:r>
      <w:r w:rsidRPr="00231F6E">
        <w:rPr>
          <w:rFonts w:ascii="Times New Roman" w:hAnsi="Times New Roman" w:cs="Times New Roman"/>
        </w:rPr>
        <w:t xml:space="preserve"> причини за забавянето на цифровизацията в България както в обществения, така и в частния сектор</w:t>
      </w:r>
      <w:r>
        <w:rPr>
          <w:rFonts w:ascii="Times New Roman" w:hAnsi="Times New Roman" w:cs="Times New Roman"/>
        </w:rPr>
        <w:t>, са свързани с</w:t>
      </w:r>
      <w:r w:rsidRPr="00231F6E">
        <w:rPr>
          <w:rFonts w:ascii="Times New Roman" w:hAnsi="Times New Roman" w:cs="Times New Roman"/>
        </w:rPr>
        <w:t xml:space="preserve"> ниското ниво на този тип умения, наред с недостига на специалисти по ИКТ и недостатъчните инвестиции в цифровата инфраструктура.</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533F13">
        <w:rPr>
          <w:rFonts w:ascii="Times New Roman" w:hAnsi="Times New Roman" w:cs="Times New Roman"/>
        </w:rPr>
        <w:t xml:space="preserve">От ключова важност за развитието на ИКТ и за разпространяване  на положителното им въздействие е осигуряването на необходимата </w:t>
      </w:r>
      <w:r w:rsidRPr="00533F13">
        <w:rPr>
          <w:rFonts w:ascii="Times New Roman" w:eastAsia="Calibri" w:hAnsi="Times New Roman" w:cs="Times New Roman"/>
          <w:b/>
          <w:color w:val="365F91"/>
          <w:lang w:eastAsia="en-US"/>
        </w:rPr>
        <w:t>широколентова инфраструктура</w:t>
      </w:r>
      <w:r w:rsidRPr="00533F13">
        <w:rPr>
          <w:rFonts w:ascii="Times New Roman" w:hAnsi="Times New Roman" w:cs="Times New Roman"/>
        </w:rPr>
        <w:t>, като платформа за предоставяне на разнообразни електронни услуги. Програма</w:t>
      </w:r>
      <w:r>
        <w:rPr>
          <w:rFonts w:ascii="Times New Roman" w:hAnsi="Times New Roman" w:cs="Times New Roman"/>
        </w:rPr>
        <w:t>та</w:t>
      </w:r>
      <w:r w:rsidRPr="00533F13">
        <w:rPr>
          <w:rFonts w:ascii="Times New Roman" w:hAnsi="Times New Roman" w:cs="Times New Roman"/>
        </w:rPr>
        <w:t xml:space="preserve"> в областта на цифровите технологии за Европа подчертава необходимостта да се гарантира разгръщане и развитие на високоскоростен широколентов достъп за всички и да се улеснят и насърчат инвестициите в нови много бързи, отворени и конкурентни интернет мрежи, които да са артериите на бъдещата икономика и основна предпоставка за широкото използване на ИКТ базирани електронни услуги за гражданите, бизнеса и държавното управление. В този смисъл наличието на модерна широколентовата инфраструктура, респективно достъпът до високоскоростен интернет</w:t>
      </w:r>
      <w:r>
        <w:rPr>
          <w:rFonts w:ascii="Times New Roman" w:hAnsi="Times New Roman" w:cs="Times New Roman"/>
        </w:rPr>
        <w:t>,</w:t>
      </w:r>
      <w:r w:rsidRPr="00533F13">
        <w:rPr>
          <w:rFonts w:ascii="Times New Roman" w:hAnsi="Times New Roman" w:cs="Times New Roman"/>
        </w:rPr>
        <w:t xml:space="preserve"> е основополагащата ключова предпоставка за постигането на т.нар. цифров растеж.</w:t>
      </w:r>
      <w:r>
        <w:rPr>
          <w:rFonts w:ascii="Times New Roman" w:hAnsi="Times New Roman" w:cs="Times New Roman"/>
        </w:rPr>
        <w:t xml:space="preserve"> Според ЕК, </w:t>
      </w:r>
      <w:r w:rsidRPr="00533F13">
        <w:rPr>
          <w:rFonts w:ascii="Times New Roman" w:hAnsi="Times New Roman" w:cs="Times New Roman"/>
        </w:rPr>
        <w:t xml:space="preserve">България </w:t>
      </w:r>
      <w:r>
        <w:rPr>
          <w:rFonts w:ascii="Times New Roman" w:hAnsi="Times New Roman" w:cs="Times New Roman"/>
        </w:rPr>
        <w:t xml:space="preserve">е </w:t>
      </w:r>
      <w:r w:rsidRPr="002B0DF0">
        <w:rPr>
          <w:rFonts w:ascii="Times New Roman" w:hAnsi="Times New Roman" w:cs="Times New Roman"/>
        </w:rPr>
        <w:t>в групата на държавите, демонстриращи много бавно развитие в областта на свързаността</w:t>
      </w:r>
      <w:r w:rsidRPr="00533F13">
        <w:rPr>
          <w:rFonts w:ascii="Times New Roman" w:hAnsi="Times New Roman" w:cs="Times New Roman"/>
        </w:rPr>
        <w:t xml:space="preserve"> </w:t>
      </w:r>
      <w:r>
        <w:rPr>
          <w:rFonts w:ascii="Times New Roman" w:hAnsi="Times New Roman" w:cs="Times New Roman"/>
        </w:rPr>
        <w:t xml:space="preserve">и </w:t>
      </w:r>
      <w:r w:rsidRPr="00533F13">
        <w:rPr>
          <w:rFonts w:ascii="Times New Roman" w:hAnsi="Times New Roman" w:cs="Times New Roman"/>
        </w:rPr>
        <w:t xml:space="preserve">се нарежда на 25-то място в ЕС по отношение на </w:t>
      </w:r>
      <w:r>
        <w:rPr>
          <w:rFonts w:ascii="Times New Roman" w:hAnsi="Times New Roman" w:cs="Times New Roman"/>
        </w:rPr>
        <w:t>комбинираният индикатор за „</w:t>
      </w:r>
      <w:r w:rsidRPr="003C5277">
        <w:rPr>
          <w:rFonts w:ascii="Times New Roman" w:hAnsi="Times New Roman" w:cs="Times New Roman"/>
          <w:i/>
        </w:rPr>
        <w:t>свързаност</w:t>
      </w:r>
      <w:r w:rsidRPr="00533F13">
        <w:rPr>
          <w:rFonts w:ascii="Times New Roman" w:hAnsi="Times New Roman" w:cs="Times New Roman"/>
        </w:rPr>
        <w:t xml:space="preserve">“ </w:t>
      </w:r>
      <w:r>
        <w:rPr>
          <w:rFonts w:ascii="Times New Roman" w:hAnsi="Times New Roman" w:cs="Times New Roman"/>
        </w:rPr>
        <w:t>в рамките на</w:t>
      </w:r>
      <w:r w:rsidRPr="00533F13">
        <w:rPr>
          <w:rFonts w:ascii="Times New Roman" w:hAnsi="Times New Roman" w:cs="Times New Roman"/>
        </w:rPr>
        <w:t xml:space="preserve"> </w:t>
      </w:r>
      <w:r w:rsidRPr="00906016">
        <w:rPr>
          <w:rFonts w:ascii="Times New Roman" w:hAnsi="Times New Roman" w:cs="Times New Roman"/>
          <w:i/>
        </w:rPr>
        <w:t>DESI</w:t>
      </w:r>
      <w:r w:rsidRPr="00533F13">
        <w:rPr>
          <w:rFonts w:ascii="Times New Roman" w:hAnsi="Times New Roman" w:cs="Times New Roman"/>
        </w:rPr>
        <w:t xml:space="preserve"> за 2018 г. Общото покритие с фиксирани широколентови мрежи в страната (обхващащо 95% от населението) е почти на средното ниво за ЕС (97%), с по-ярко изразено изоставане от ЕС в селските райони (82% от населението в страната, спрямо 92% в ЕС). </w:t>
      </w:r>
      <w:r>
        <w:rPr>
          <w:rFonts w:ascii="Times New Roman" w:hAnsi="Times New Roman" w:cs="Times New Roman"/>
        </w:rPr>
        <w:t>В страната е р</w:t>
      </w:r>
      <w:r w:rsidRPr="00180F78">
        <w:rPr>
          <w:rFonts w:ascii="Times New Roman" w:hAnsi="Times New Roman" w:cs="Times New Roman"/>
        </w:rPr>
        <w:t xml:space="preserve">азпределена едва малка част от хармонизирания на равнището на ЕС радиочестотен спектър, предвиден за широколентови услуги. Това се дължи отчасти на забавяне в предоставянето на изключително важна част от радиочестотния спектър под 1 </w:t>
      </w:r>
      <w:proofErr w:type="spellStart"/>
      <w:r w:rsidRPr="00180F78">
        <w:rPr>
          <w:rFonts w:ascii="Times New Roman" w:hAnsi="Times New Roman" w:cs="Times New Roman"/>
        </w:rPr>
        <w:t>GHz</w:t>
      </w:r>
      <w:proofErr w:type="spellEnd"/>
      <w:r w:rsidRPr="00180F78">
        <w:rPr>
          <w:rFonts w:ascii="Times New Roman" w:hAnsi="Times New Roman" w:cs="Times New Roman"/>
        </w:rPr>
        <w:t xml:space="preserve"> за електронни съобщителни услуги, в </w:t>
      </w:r>
      <w:r w:rsidRPr="00180F78">
        <w:rPr>
          <w:rFonts w:ascii="Times New Roman" w:hAnsi="Times New Roman" w:cs="Times New Roman"/>
        </w:rPr>
        <w:lastRenderedPageBreak/>
        <w:t xml:space="preserve">съчетание с липсата на търговски интерес за някои други радиочестотни ленти. </w:t>
      </w:r>
      <w:r w:rsidRPr="00533F13">
        <w:rPr>
          <w:rFonts w:ascii="Times New Roman" w:hAnsi="Times New Roman" w:cs="Times New Roman"/>
        </w:rPr>
        <w:t>Разпространението на широколентов достъп до интернет (59%) остава много под средното ниво за ЕС (75%). България е на последно място в ЕС по отношение на покритието с 4G мрежи с изоставане от почти 20 п</w:t>
      </w:r>
      <w:r>
        <w:rPr>
          <w:rFonts w:ascii="Times New Roman" w:hAnsi="Times New Roman" w:cs="Times New Roman"/>
        </w:rPr>
        <w:t>роцентни пункта</w:t>
      </w:r>
      <w:r w:rsidRPr="00533F13">
        <w:rPr>
          <w:rFonts w:ascii="Times New Roman" w:hAnsi="Times New Roman" w:cs="Times New Roman"/>
        </w:rPr>
        <w:t xml:space="preserve"> от средните за ЕС (90%). </w:t>
      </w:r>
      <w:r w:rsidRPr="002B0DF0">
        <w:rPr>
          <w:rFonts w:ascii="Times New Roman" w:hAnsi="Times New Roman" w:cs="Times New Roman"/>
        </w:rPr>
        <w:t>Започналата през 2016 г. дейност по освобождаването на радиочестотен спектър за честотните ленти 800</w:t>
      </w:r>
      <w:r>
        <w:rPr>
          <w:rFonts w:ascii="Times New Roman" w:hAnsi="Times New Roman" w:cs="Times New Roman"/>
        </w:rPr>
        <w:t xml:space="preserve"> </w:t>
      </w:r>
      <w:proofErr w:type="spellStart"/>
      <w:r w:rsidRPr="002B0DF0">
        <w:rPr>
          <w:rFonts w:ascii="Times New Roman" w:hAnsi="Times New Roman" w:cs="Times New Roman"/>
        </w:rPr>
        <w:t>MHz</w:t>
      </w:r>
      <w:proofErr w:type="spellEnd"/>
      <w:r w:rsidRPr="002B0DF0">
        <w:rPr>
          <w:rFonts w:ascii="Times New Roman" w:hAnsi="Times New Roman" w:cs="Times New Roman"/>
        </w:rPr>
        <w:t xml:space="preserve"> и 700</w:t>
      </w:r>
      <w:r>
        <w:rPr>
          <w:rFonts w:ascii="Times New Roman" w:hAnsi="Times New Roman" w:cs="Times New Roman"/>
        </w:rPr>
        <w:t xml:space="preserve"> </w:t>
      </w:r>
      <w:proofErr w:type="spellStart"/>
      <w:r w:rsidRPr="002B0DF0">
        <w:rPr>
          <w:rFonts w:ascii="Times New Roman" w:hAnsi="Times New Roman" w:cs="Times New Roman"/>
        </w:rPr>
        <w:t>MHz</w:t>
      </w:r>
      <w:proofErr w:type="spellEnd"/>
      <w:r w:rsidRPr="002B0DF0">
        <w:rPr>
          <w:rFonts w:ascii="Times New Roman" w:hAnsi="Times New Roman" w:cs="Times New Roman"/>
        </w:rPr>
        <w:t xml:space="preserve"> остава в застой, докато повечето трудности възникват по отношение на спектъра от 1.8</w:t>
      </w:r>
      <w:r>
        <w:rPr>
          <w:rFonts w:ascii="Times New Roman" w:hAnsi="Times New Roman" w:cs="Times New Roman"/>
        </w:rPr>
        <w:t xml:space="preserve"> </w:t>
      </w:r>
      <w:proofErr w:type="spellStart"/>
      <w:r w:rsidRPr="002B0DF0">
        <w:rPr>
          <w:rFonts w:ascii="Times New Roman" w:hAnsi="Times New Roman" w:cs="Times New Roman"/>
        </w:rPr>
        <w:t>GHz</w:t>
      </w:r>
      <w:proofErr w:type="spellEnd"/>
      <w:r w:rsidRPr="002B0DF0">
        <w:rPr>
          <w:rFonts w:ascii="Times New Roman" w:hAnsi="Times New Roman" w:cs="Times New Roman"/>
        </w:rPr>
        <w:t xml:space="preserve">. Полагането на допълнителни усилия за ефективното освобождаване на тези честотни ленти би могло да окаже значително положително въздействие върху разпространението на висококачествени безжични широколентови услуги в България. </w:t>
      </w:r>
      <w:r w:rsidRPr="00533F13">
        <w:rPr>
          <w:rFonts w:ascii="Times New Roman" w:hAnsi="Times New Roman" w:cs="Times New Roman"/>
        </w:rPr>
        <w:t xml:space="preserve">Същевременно, страната е на 16-то място в ЕС при разпространението на мобилен широколентов достъп до интернет с 87 абонамента на всеки 100 души, но губи позиции в последните години поради по-бързото развитие в областта от страна на другите държави-членки. Мрежите, които могат да осигурят достъп до интернет със скорост поне  </w:t>
      </w:r>
      <w:r>
        <w:rPr>
          <w:rFonts w:ascii="Times New Roman" w:hAnsi="Times New Roman" w:cs="Times New Roman"/>
        </w:rPr>
        <w:t>3</w:t>
      </w:r>
      <w:r w:rsidRPr="00533F13">
        <w:rPr>
          <w:rFonts w:ascii="Times New Roman" w:hAnsi="Times New Roman" w:cs="Times New Roman"/>
        </w:rPr>
        <w:t>0</w:t>
      </w:r>
      <w:r>
        <w:rPr>
          <w:rFonts w:ascii="Times New Roman" w:hAnsi="Times New Roman" w:cs="Times New Roman"/>
        </w:rPr>
        <w:t xml:space="preserve"> </w:t>
      </w:r>
      <w:proofErr w:type="spellStart"/>
      <w:r w:rsidRPr="00533F13">
        <w:rPr>
          <w:rFonts w:ascii="Times New Roman" w:hAnsi="Times New Roman" w:cs="Times New Roman"/>
        </w:rPr>
        <w:t>Mbps</w:t>
      </w:r>
      <w:proofErr w:type="spellEnd"/>
      <w:r w:rsidRPr="00533F13">
        <w:rPr>
          <w:rFonts w:ascii="Times New Roman" w:hAnsi="Times New Roman" w:cs="Times New Roman"/>
        </w:rPr>
        <w:t xml:space="preserve"> (достъп от следващо поколение), са на разположение за над три четвърти от българските домакинства, при относително малко изоставане спрямо ЕС (80%), но отново разликата нараства значително при населението в селските райони (едва 25% спрямо 47%). България отбелязва забележителен напредък по отношение на покритието със </w:t>
      </w:r>
      <w:proofErr w:type="spellStart"/>
      <w:r w:rsidRPr="00533F13">
        <w:rPr>
          <w:rFonts w:ascii="Times New Roman" w:hAnsi="Times New Roman" w:cs="Times New Roman"/>
        </w:rPr>
        <w:t>свръхбърз</w:t>
      </w:r>
      <w:proofErr w:type="spellEnd"/>
      <w:r w:rsidRPr="00533F13">
        <w:rPr>
          <w:rFonts w:ascii="Times New Roman" w:hAnsi="Times New Roman" w:cs="Times New Roman"/>
        </w:rPr>
        <w:t xml:space="preserve"> широколентов интернет (FTTP или </w:t>
      </w:r>
      <w:proofErr w:type="spellStart"/>
      <w:r w:rsidRPr="00533F13">
        <w:rPr>
          <w:rFonts w:ascii="Times New Roman" w:hAnsi="Times New Roman" w:cs="Times New Roman"/>
        </w:rPr>
        <w:t>Docsis</w:t>
      </w:r>
      <w:proofErr w:type="spellEnd"/>
      <w:r w:rsidRPr="00533F13">
        <w:rPr>
          <w:rFonts w:ascii="Times New Roman" w:hAnsi="Times New Roman" w:cs="Times New Roman"/>
        </w:rPr>
        <w:t xml:space="preserve"> 3.0), достигайки 75%, при средно ниво за ЕС 58%. Разпространението на </w:t>
      </w:r>
      <w:proofErr w:type="spellStart"/>
      <w:r w:rsidRPr="00533F13">
        <w:rPr>
          <w:rFonts w:ascii="Times New Roman" w:hAnsi="Times New Roman" w:cs="Times New Roman"/>
        </w:rPr>
        <w:t>свръхбърз</w:t>
      </w:r>
      <w:proofErr w:type="spellEnd"/>
      <w:r w:rsidRPr="00533F13">
        <w:rPr>
          <w:rFonts w:ascii="Times New Roman" w:hAnsi="Times New Roman" w:cs="Times New Roman"/>
        </w:rPr>
        <w:t xml:space="preserve"> широколентов интернет обаче е едва 6.5%, докато средното за ЕС е два и половина пъти по-високо</w:t>
      </w:r>
      <w:r>
        <w:rPr>
          <w:rFonts w:ascii="Times New Roman" w:hAnsi="Times New Roman" w:cs="Times New Roman"/>
        </w:rPr>
        <w:t xml:space="preserve">. Донякъде, причините за изоставането в разпространението на широколентов достъп до интернет се свързват с ценовия фактор, </w:t>
      </w:r>
      <w:proofErr w:type="spellStart"/>
      <w:r>
        <w:rPr>
          <w:rFonts w:ascii="Times New Roman" w:hAnsi="Times New Roman" w:cs="Times New Roman"/>
        </w:rPr>
        <w:t>т.к</w:t>
      </w:r>
      <w:proofErr w:type="spellEnd"/>
      <w:r>
        <w:rPr>
          <w:rFonts w:ascii="Times New Roman" w:hAnsi="Times New Roman" w:cs="Times New Roman"/>
        </w:rPr>
        <w:t xml:space="preserve">. данните на ЕК показват, че цените в България превъзхождат средните стойности в общността. Очакваното пълно транспониране на </w:t>
      </w:r>
      <w:r w:rsidRPr="00180F78">
        <w:rPr>
          <w:rFonts w:ascii="Times New Roman" w:hAnsi="Times New Roman" w:cs="Times New Roman"/>
        </w:rPr>
        <w:t>Директивата за намаляване на разходите за високоскоростни електронни съобщителни мрежи</w:t>
      </w:r>
      <w:r>
        <w:rPr>
          <w:rFonts w:ascii="Times New Roman" w:hAnsi="Times New Roman" w:cs="Times New Roman"/>
        </w:rPr>
        <w:t xml:space="preserve">, </w:t>
      </w:r>
      <w:proofErr w:type="spellStart"/>
      <w:r>
        <w:rPr>
          <w:rFonts w:ascii="Times New Roman" w:hAnsi="Times New Roman" w:cs="Times New Roman"/>
        </w:rPr>
        <w:t>нотифицирано</w:t>
      </w:r>
      <w:proofErr w:type="spellEnd"/>
      <w:r>
        <w:rPr>
          <w:rFonts w:ascii="Times New Roman" w:hAnsi="Times New Roman" w:cs="Times New Roman"/>
        </w:rPr>
        <w:t xml:space="preserve"> от страната в началото на 2018 г. с известно забавяне и след решение на европейските институции България да бъде изправена пред Съда на ЕС, </w:t>
      </w:r>
      <w:r w:rsidRPr="00180F78">
        <w:rPr>
          <w:rFonts w:ascii="Times New Roman" w:hAnsi="Times New Roman" w:cs="Times New Roman"/>
        </w:rPr>
        <w:t xml:space="preserve">би трябвало да </w:t>
      </w:r>
      <w:r>
        <w:rPr>
          <w:rFonts w:ascii="Times New Roman" w:hAnsi="Times New Roman" w:cs="Times New Roman"/>
        </w:rPr>
        <w:t>способства за решаването на този проблем и – като следствие – да п</w:t>
      </w:r>
      <w:r w:rsidRPr="00180F78">
        <w:rPr>
          <w:rFonts w:ascii="Times New Roman" w:hAnsi="Times New Roman" w:cs="Times New Roman"/>
        </w:rPr>
        <w:t>одобри и ускори разгръщането на широколентовия достъп до</w:t>
      </w:r>
      <w:r>
        <w:rPr>
          <w:rFonts w:ascii="Times New Roman" w:hAnsi="Times New Roman" w:cs="Times New Roman"/>
        </w:rPr>
        <w:t xml:space="preserve"> </w:t>
      </w:r>
      <w:r w:rsidRPr="00180F78">
        <w:rPr>
          <w:rFonts w:ascii="Times New Roman" w:hAnsi="Times New Roman" w:cs="Times New Roman"/>
        </w:rPr>
        <w:t>интернет</w:t>
      </w:r>
      <w:r>
        <w:rPr>
          <w:rFonts w:ascii="Times New Roman" w:hAnsi="Times New Roman" w:cs="Times New Roman"/>
        </w:rPr>
        <w:t xml:space="preserve">. Последното ще изисква още и </w:t>
      </w:r>
      <w:r w:rsidRPr="00180F78">
        <w:rPr>
          <w:rFonts w:ascii="Times New Roman" w:hAnsi="Times New Roman" w:cs="Times New Roman"/>
        </w:rPr>
        <w:t>по-задълбоченото съсредоточаване върху разпространението на широколентов достъп до интернет в селските райони, както и развитието на умения и услуги в областта на цифровите технологии.</w:t>
      </w:r>
      <w:r>
        <w:rPr>
          <w:rFonts w:ascii="Times New Roman" w:hAnsi="Times New Roman" w:cs="Times New Roman"/>
        </w:rPr>
        <w:t xml:space="preserve"> Налице е и необходимост от актуализиране на стратегията на правителството за широколентов достъп в посока </w:t>
      </w:r>
      <w:r w:rsidRPr="0026220F">
        <w:rPr>
          <w:rFonts w:ascii="Times New Roman" w:hAnsi="Times New Roman" w:cs="Times New Roman"/>
        </w:rPr>
        <w:t>5G свързаност при обезпечаване навременното предоставяне на подходящ радиочестотен спектър на всички участници на пазара с цел провеждане на ранни тестове и разгръщане на 5G мрежи.</w:t>
      </w:r>
    </w:p>
    <w:p w:rsidR="00AE0F90" w:rsidRPr="006D78AE" w:rsidRDefault="00AE0F90" w:rsidP="00AE0F90">
      <w:pPr>
        <w:pStyle w:val="ListParagraph"/>
        <w:spacing w:line="269" w:lineRule="auto"/>
        <w:ind w:left="0" w:firstLine="0"/>
        <w:contextualSpacing w:val="0"/>
        <w:jc w:val="both"/>
        <w:rPr>
          <w:rFonts w:ascii="Times New Roman" w:hAnsi="Times New Roman" w:cs="Times New Roman"/>
        </w:rPr>
      </w:pPr>
      <w:r w:rsidRPr="006A6AE1">
        <w:rPr>
          <w:rFonts w:ascii="Times New Roman" w:hAnsi="Times New Roman" w:cs="Times New Roman"/>
        </w:rPr>
        <w:t xml:space="preserve">Нивото на </w:t>
      </w:r>
      <w:r w:rsidRPr="003D195F">
        <w:rPr>
          <w:rFonts w:ascii="Times New Roman" w:eastAsia="Calibri" w:hAnsi="Times New Roman" w:cs="Times New Roman"/>
          <w:b/>
          <w:color w:val="365F91"/>
          <w:lang w:eastAsia="en-US"/>
        </w:rPr>
        <w:t>уменията на населението в областта на цифровите технологии</w:t>
      </w:r>
      <w:r w:rsidRPr="006A6AE1">
        <w:rPr>
          <w:rFonts w:ascii="Times New Roman" w:hAnsi="Times New Roman" w:cs="Times New Roman"/>
        </w:rPr>
        <w:t xml:space="preserve"> е сред най-ниските в ЕС, като варира в големи граници при различните социално-икономически групи. Повече от 2/3</w:t>
      </w:r>
      <w:r>
        <w:rPr>
          <w:rStyle w:val="FootnoteReference"/>
          <w:rFonts w:ascii="Times New Roman" w:hAnsi="Times New Roman"/>
        </w:rPr>
        <w:footnoteReference w:id="67"/>
      </w:r>
      <w:r w:rsidRPr="006A6AE1">
        <w:rPr>
          <w:rFonts w:ascii="Times New Roman" w:hAnsi="Times New Roman" w:cs="Times New Roman"/>
        </w:rPr>
        <w:t xml:space="preserve"> от населението не притежава дори и основни умения в областта на цифровите технологии през 201</w:t>
      </w:r>
      <w:r>
        <w:rPr>
          <w:rFonts w:ascii="Times New Roman" w:hAnsi="Times New Roman" w:cs="Times New Roman"/>
        </w:rPr>
        <w:t>7</w:t>
      </w:r>
      <w:r w:rsidRPr="006A6AE1">
        <w:rPr>
          <w:rFonts w:ascii="Times New Roman" w:hAnsi="Times New Roman" w:cs="Times New Roman"/>
        </w:rPr>
        <w:t xml:space="preserve"> г., докато средната стойност на показателя в ЕС е 43%. </w:t>
      </w:r>
      <w:r>
        <w:rPr>
          <w:rFonts w:ascii="Times New Roman" w:hAnsi="Times New Roman" w:cs="Times New Roman"/>
        </w:rPr>
        <w:t xml:space="preserve">Особено голямо е изоставането спрямо ЕС при </w:t>
      </w:r>
      <w:proofErr w:type="spellStart"/>
      <w:r>
        <w:rPr>
          <w:rFonts w:ascii="Times New Roman" w:hAnsi="Times New Roman" w:cs="Times New Roman"/>
        </w:rPr>
        <w:t>нискодоходните</w:t>
      </w:r>
      <w:proofErr w:type="spellEnd"/>
      <w:r>
        <w:rPr>
          <w:rStyle w:val="FootnoteReference"/>
          <w:rFonts w:ascii="Times New Roman" w:hAnsi="Times New Roman"/>
        </w:rPr>
        <w:footnoteReference w:id="68"/>
      </w:r>
      <w:r>
        <w:rPr>
          <w:rFonts w:ascii="Times New Roman" w:hAnsi="Times New Roman" w:cs="Times New Roman"/>
        </w:rPr>
        <w:t xml:space="preserve"> и </w:t>
      </w:r>
      <w:proofErr w:type="spellStart"/>
      <w:r>
        <w:rPr>
          <w:rFonts w:ascii="Times New Roman" w:hAnsi="Times New Roman" w:cs="Times New Roman"/>
        </w:rPr>
        <w:t>нискообразованите</w:t>
      </w:r>
      <w:proofErr w:type="spellEnd"/>
      <w:r>
        <w:rPr>
          <w:rStyle w:val="FootnoteReference"/>
          <w:rFonts w:ascii="Times New Roman" w:hAnsi="Times New Roman"/>
        </w:rPr>
        <w:footnoteReference w:id="69"/>
      </w:r>
      <w:r>
        <w:rPr>
          <w:rFonts w:ascii="Times New Roman" w:hAnsi="Times New Roman" w:cs="Times New Roman"/>
        </w:rPr>
        <w:t xml:space="preserve"> слоеве от населението, както и при лицата, живеещи в </w:t>
      </w:r>
      <w:proofErr w:type="spellStart"/>
      <w:r>
        <w:rPr>
          <w:rFonts w:ascii="Times New Roman" w:hAnsi="Times New Roman" w:cs="Times New Roman"/>
        </w:rPr>
        <w:t>слабонаселени</w:t>
      </w:r>
      <w:proofErr w:type="spellEnd"/>
      <w:r>
        <w:rPr>
          <w:rFonts w:ascii="Times New Roman" w:hAnsi="Times New Roman" w:cs="Times New Roman"/>
        </w:rPr>
        <w:t xml:space="preserve"> райони</w:t>
      </w:r>
      <w:r>
        <w:rPr>
          <w:rStyle w:val="FootnoteReference"/>
          <w:rFonts w:ascii="Times New Roman" w:hAnsi="Times New Roman"/>
        </w:rPr>
        <w:footnoteReference w:id="70"/>
      </w:r>
      <w:r>
        <w:rPr>
          <w:rFonts w:ascii="Times New Roman" w:hAnsi="Times New Roman" w:cs="Times New Roman"/>
        </w:rPr>
        <w:t xml:space="preserve">. </w:t>
      </w:r>
      <w:r w:rsidRPr="006A6AE1">
        <w:rPr>
          <w:rFonts w:ascii="Times New Roman" w:hAnsi="Times New Roman" w:cs="Times New Roman"/>
        </w:rPr>
        <w:t>Това е свързано и с относително ниския в сравнителен план брой лица, които използват интернет (62% от населението</w:t>
      </w:r>
      <w:r w:rsidRPr="006A6AE1">
        <w:rPr>
          <w:rStyle w:val="FootnoteReference"/>
          <w:rFonts w:ascii="Times New Roman" w:hAnsi="Times New Roman"/>
        </w:rPr>
        <w:footnoteReference w:id="71"/>
      </w:r>
      <w:r w:rsidRPr="006A6AE1">
        <w:rPr>
          <w:rFonts w:ascii="Times New Roman" w:hAnsi="Times New Roman" w:cs="Times New Roman"/>
        </w:rPr>
        <w:t>, спрямо 81% в ЕС).</w:t>
      </w:r>
      <w:r>
        <w:rPr>
          <w:rFonts w:ascii="Times New Roman" w:hAnsi="Times New Roman" w:cs="Times New Roman"/>
        </w:rPr>
        <w:t xml:space="preserve"> Въпреки че през последните години са взети мерки за модернизация на образователната система (като последователното включване на обучение по информационни технологии в учебната програма на учениците в първи, пети и седми клас), все още не се наблюдават конкретни резултати в цялостното представяне на </w:t>
      </w:r>
      <w:r w:rsidRPr="006D78AE">
        <w:rPr>
          <w:rFonts w:ascii="Times New Roman" w:hAnsi="Times New Roman" w:cs="Times New Roman"/>
        </w:rPr>
        <w:t>страната, което налага потребност от извършване на задълбочен критичен анализ на ефективността на проведената реформа, с акцент върху резултатите от нея. При това, интервенции са необходим</w:t>
      </w:r>
      <w:r>
        <w:rPr>
          <w:rFonts w:ascii="Times New Roman" w:hAnsi="Times New Roman" w:cs="Times New Roman"/>
        </w:rPr>
        <w:t>и</w:t>
      </w:r>
      <w:r w:rsidRPr="006D78AE">
        <w:rPr>
          <w:rFonts w:ascii="Times New Roman" w:hAnsi="Times New Roman" w:cs="Times New Roman"/>
        </w:rPr>
        <w:t xml:space="preserve"> не само в </w:t>
      </w:r>
      <w:r w:rsidRPr="006D78AE">
        <w:rPr>
          <w:rFonts w:ascii="Times New Roman" w:hAnsi="Times New Roman" w:cs="Times New Roman"/>
        </w:rPr>
        <w:lastRenderedPageBreak/>
        <w:t>образователната система, но и в системата на квалификация и преквалификация на заети, безработни, хора и групи в неравностойно положение за повишаване на цифровата грамотност на населението.</w:t>
      </w:r>
    </w:p>
    <w:p w:rsidR="00AE0F90" w:rsidRPr="00D9271C" w:rsidRDefault="00AE0F90" w:rsidP="00AE0F90">
      <w:pPr>
        <w:pStyle w:val="ListParagraph"/>
        <w:spacing w:line="269" w:lineRule="auto"/>
        <w:ind w:left="0" w:firstLine="0"/>
        <w:contextualSpacing w:val="0"/>
        <w:jc w:val="both"/>
        <w:rPr>
          <w:rFonts w:ascii="Times New Roman" w:hAnsi="Times New Roman" w:cs="Times New Roman"/>
        </w:rPr>
      </w:pPr>
      <w:r w:rsidRPr="00D9271C">
        <w:rPr>
          <w:rFonts w:ascii="Times New Roman" w:hAnsi="Times New Roman" w:cs="Times New Roman"/>
        </w:rPr>
        <w:t xml:space="preserve">През последните години се наблюдават някои частни инициативи като проектите на Дигиталната национална коалиция и създадените от някои ИТ компании корпоративни академии, които адресират проблема с недостига на специализирани дигитални умения. В тази връзка, предизвикателство пред политиката и сфера с </w:t>
      </w:r>
      <w:proofErr w:type="spellStart"/>
      <w:r w:rsidRPr="00D9271C">
        <w:rPr>
          <w:rFonts w:ascii="Times New Roman" w:hAnsi="Times New Roman" w:cs="Times New Roman"/>
        </w:rPr>
        <w:t>не</w:t>
      </w:r>
      <w:r>
        <w:rPr>
          <w:rFonts w:ascii="Times New Roman" w:hAnsi="Times New Roman" w:cs="Times New Roman"/>
        </w:rPr>
        <w:t>доизползван</w:t>
      </w:r>
      <w:proofErr w:type="spellEnd"/>
      <w:r w:rsidRPr="00D9271C">
        <w:rPr>
          <w:rFonts w:ascii="Times New Roman" w:hAnsi="Times New Roman" w:cs="Times New Roman"/>
        </w:rPr>
        <w:t xml:space="preserve"> потенциал е разгръщането на партньорства с частния сектор</w:t>
      </w:r>
      <w:r>
        <w:rPr>
          <w:rFonts w:ascii="Times New Roman" w:hAnsi="Times New Roman" w:cs="Times New Roman"/>
        </w:rPr>
        <w:t>,</w:t>
      </w:r>
      <w:r w:rsidRPr="00D9271C">
        <w:rPr>
          <w:rFonts w:ascii="Times New Roman" w:hAnsi="Times New Roman" w:cs="Times New Roman"/>
        </w:rPr>
        <w:t xml:space="preserve"> </w:t>
      </w:r>
      <w:r>
        <w:rPr>
          <w:rFonts w:ascii="Times New Roman" w:hAnsi="Times New Roman" w:cs="Times New Roman"/>
        </w:rPr>
        <w:t xml:space="preserve">като програмата </w:t>
      </w:r>
      <w:r w:rsidRPr="00D9271C">
        <w:rPr>
          <w:rFonts w:ascii="Times New Roman" w:hAnsi="Times New Roman" w:cs="Times New Roman"/>
        </w:rPr>
        <w:t>„</w:t>
      </w:r>
      <w:r w:rsidRPr="0031243C">
        <w:rPr>
          <w:rFonts w:ascii="Times New Roman" w:hAnsi="Times New Roman" w:cs="Times New Roman"/>
          <w:i/>
        </w:rPr>
        <w:t>Образование за ИТ кариера</w:t>
      </w:r>
      <w:r w:rsidRPr="00D9271C">
        <w:rPr>
          <w:rFonts w:ascii="Times New Roman" w:hAnsi="Times New Roman" w:cs="Times New Roman"/>
        </w:rPr>
        <w:t>“</w:t>
      </w:r>
      <w:r>
        <w:rPr>
          <w:rFonts w:ascii="Times New Roman" w:hAnsi="Times New Roman" w:cs="Times New Roman"/>
        </w:rPr>
        <w:t xml:space="preserve"> на Министерството на образованието и науката</w:t>
      </w:r>
      <w:r w:rsidRPr="00D9271C">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092EE7">
        <w:rPr>
          <w:rFonts w:ascii="Times New Roman" w:hAnsi="Times New Roman" w:cs="Times New Roman"/>
        </w:rPr>
        <w:t xml:space="preserve">В допълнение на изоставането по отношение на дела от населението, което използва интернет, неблагоприятно е и позиционирането на страната по отношение на причините за използването на глобалната мрежа. Българите използват интензивно интернет за </w:t>
      </w:r>
      <w:proofErr w:type="spellStart"/>
      <w:r w:rsidRPr="00092EE7">
        <w:rPr>
          <w:rFonts w:ascii="Times New Roman" w:hAnsi="Times New Roman" w:cs="Times New Roman"/>
        </w:rPr>
        <w:t>видеоразговори</w:t>
      </w:r>
      <w:proofErr w:type="spellEnd"/>
      <w:r w:rsidRPr="00092EE7">
        <w:rPr>
          <w:rFonts w:ascii="Times New Roman" w:hAnsi="Times New Roman" w:cs="Times New Roman"/>
        </w:rPr>
        <w:t xml:space="preserve"> (85%</w:t>
      </w:r>
      <w:r>
        <w:rPr>
          <w:rStyle w:val="FootnoteReference"/>
          <w:rFonts w:ascii="Times New Roman" w:hAnsi="Times New Roman"/>
        </w:rPr>
        <w:footnoteReference w:id="72"/>
      </w:r>
      <w:r w:rsidRPr="00092EE7">
        <w:rPr>
          <w:rFonts w:ascii="Times New Roman" w:hAnsi="Times New Roman" w:cs="Times New Roman"/>
        </w:rPr>
        <w:t xml:space="preserve"> от всички потребители, при средно за ЕС – 46%), както и за комуникация в социални мрежи (79%, при средно за ЕС – 65%), като по тези показатели страната заема съответно 1-во и 5-то място в общността. Същевременно обаче едва 9% от интернет потребителите са посетили мрежата с цел електронно банкиране (61% средно за ЕС), а делът на поръчалите стоки и услуги по интернет през последните 12 месеца (27%), е повече от два пъти по-нисък от средния за ЕС. Така страната остава далеч от използването на потенциала на електронната търговия.</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C2454E">
        <w:rPr>
          <w:rFonts w:ascii="Times New Roman" w:hAnsi="Times New Roman" w:cs="Times New Roman"/>
        </w:rPr>
        <w:t xml:space="preserve">Навлизането на </w:t>
      </w:r>
      <w:r w:rsidRPr="00BD02CC">
        <w:rPr>
          <w:rFonts w:ascii="Times New Roman" w:eastAsia="Calibri" w:hAnsi="Times New Roman" w:cs="Times New Roman"/>
          <w:b/>
          <w:color w:val="365F91"/>
          <w:lang w:eastAsia="en-US"/>
        </w:rPr>
        <w:t>цифровите технологии в предприятията</w:t>
      </w:r>
      <w:r w:rsidRPr="00C2454E">
        <w:rPr>
          <w:rFonts w:ascii="Times New Roman" w:hAnsi="Times New Roman" w:cs="Times New Roman"/>
        </w:rPr>
        <w:t xml:space="preserve"> е мудно, а инвестициите в цифровизацията на икономиката са ограничени, въпреки че през последните години в страната се появява постепенно развиваща се екосистема от цифрови и технологични предприемачи. Недостатъчните инвестиции, комбинирани с недостига на ИКТ специалисти са основните причини за по-бавната цифровизация в България в сравнение с другите държави – членки на ЕС</w:t>
      </w:r>
      <w:r w:rsidRPr="00C2454E">
        <w:rPr>
          <w:rStyle w:val="FootnoteReference"/>
          <w:rFonts w:ascii="Times New Roman" w:hAnsi="Times New Roman"/>
        </w:rPr>
        <w:footnoteReference w:id="73"/>
      </w:r>
      <w:r w:rsidRPr="00C2454E">
        <w:rPr>
          <w:rFonts w:ascii="Times New Roman" w:hAnsi="Times New Roman" w:cs="Times New Roman"/>
        </w:rPr>
        <w:t>.</w:t>
      </w:r>
      <w:r>
        <w:rPr>
          <w:rFonts w:ascii="Times New Roman" w:hAnsi="Times New Roman" w:cs="Times New Roman"/>
        </w:rPr>
        <w:t xml:space="preserve"> През 2017 г. средната интензивност на цифровизиране на българските предприятия е едва 12%</w:t>
      </w:r>
      <w:r>
        <w:rPr>
          <w:rStyle w:val="FootnoteReference"/>
          <w:rFonts w:ascii="Times New Roman" w:hAnsi="Times New Roman"/>
        </w:rPr>
        <w:footnoteReference w:id="74"/>
      </w:r>
      <w:r>
        <w:rPr>
          <w:rFonts w:ascii="Times New Roman" w:hAnsi="Times New Roman" w:cs="Times New Roman"/>
        </w:rPr>
        <w:t xml:space="preserve">, поставяйки икономиката на страната на 27-мо място в ЕС. Повече от 2/3 от предприятията в страната се характеризират с много нисък индекс на цифровизация, често имайки само уеб страница и няколко компютъра. </w:t>
      </w:r>
      <w:r w:rsidRPr="004E12CC">
        <w:rPr>
          <w:rFonts w:ascii="Times New Roman" w:hAnsi="Times New Roman" w:cs="Times New Roman"/>
        </w:rPr>
        <w:t>Въпреки че българските дружества са значими потребители на радиочестотна идентификация (RFID) – показател, по-който страната оглавява класацията в рамките на ЕС</w:t>
      </w:r>
      <w:r w:rsidRPr="004E12CC">
        <w:rPr>
          <w:rStyle w:val="FootnoteReference"/>
          <w:rFonts w:ascii="Times New Roman" w:hAnsi="Times New Roman"/>
        </w:rPr>
        <w:footnoteReference w:id="75"/>
      </w:r>
      <w:r w:rsidRPr="004E12CC">
        <w:rPr>
          <w:rFonts w:ascii="Times New Roman" w:hAnsi="Times New Roman" w:cs="Times New Roman"/>
        </w:rPr>
        <w:t>, потреблението им на компютърни услуги в облак или социални медии е сред най-ниските в ЕС, съответно 5.5% и 9% от общия брой предприятия. Само 12% от предприятията в страната начисляват електронни фактури и едва 7.1% от МСП осъществяват продажби онлайн, а относителният дял на оборота от електронна търговия (3.5%) в общия оборот на МСП сектора е три по-нисък от реализирания в ЕС.</w:t>
      </w:r>
      <w:r>
        <w:rPr>
          <w:rFonts w:ascii="Times New Roman" w:hAnsi="Times New Roman" w:cs="Times New Roman"/>
        </w:rPr>
        <w:t xml:space="preserve"> Въпреки че по оперативните програми за програмен период 2014-2020 г. се подкрепят проекти, свързани с насърчаване на иновациите и цифровизацията сред бизнеса, към настоящия момент не се наблюдава съществен ефект, което отправя предизвикателство пред политиката от преосмисляне на интервенциите и/или техния обхват и ефективност. Приетата през 2017 г. Концепция з</w:t>
      </w:r>
      <w:r w:rsidRPr="00F60CAB">
        <w:rPr>
          <w:rFonts w:ascii="Times New Roman" w:hAnsi="Times New Roman" w:cs="Times New Roman"/>
        </w:rPr>
        <w:t>а цифрова трансформация на българската индустрия</w:t>
      </w:r>
      <w:r>
        <w:rPr>
          <w:rFonts w:ascii="Times New Roman" w:hAnsi="Times New Roman" w:cs="Times New Roman"/>
        </w:rPr>
        <w:t xml:space="preserve"> е несъмнено стъпка в правилната посока, но е необходимо нейното </w:t>
      </w:r>
      <w:proofErr w:type="spellStart"/>
      <w:r>
        <w:rPr>
          <w:rFonts w:ascii="Times New Roman" w:hAnsi="Times New Roman" w:cs="Times New Roman"/>
        </w:rPr>
        <w:t>операционализиране</w:t>
      </w:r>
      <w:proofErr w:type="spellEnd"/>
      <w:r>
        <w:rPr>
          <w:rFonts w:ascii="Times New Roman" w:hAnsi="Times New Roman" w:cs="Times New Roman"/>
        </w:rPr>
        <w:t xml:space="preserve">. Допълнителното изоставане на българските предприятия в бързия </w:t>
      </w:r>
      <w:r w:rsidRPr="00F60CAB">
        <w:rPr>
          <w:rFonts w:ascii="Times New Roman" w:hAnsi="Times New Roman" w:cs="Times New Roman"/>
        </w:rPr>
        <w:t>и мащабен процес на навлизане на цифровите технологии</w:t>
      </w:r>
      <w:r>
        <w:rPr>
          <w:rFonts w:ascii="Times New Roman" w:hAnsi="Times New Roman" w:cs="Times New Roman"/>
        </w:rPr>
        <w:t xml:space="preserve"> ще рефлектира в загуба на конкурентоспособност. Обратно, адекватните и своевременни действия на правителството в посока осигуряване на подходящи условия за цифрово трансформиране на бизнеса и предоставянето на подкрепа в този процес ще създаде възможност за завоюване на по-високи пазарни дялове в съществуващи и възникващи продуктови ниши.</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9F5DA9">
        <w:rPr>
          <w:rFonts w:ascii="Times New Roman" w:hAnsi="Times New Roman" w:cs="Times New Roman"/>
        </w:rPr>
        <w:t>Въпреки</w:t>
      </w:r>
      <w:r>
        <w:rPr>
          <w:rFonts w:ascii="Times New Roman" w:hAnsi="Times New Roman" w:cs="Times New Roman"/>
        </w:rPr>
        <w:t xml:space="preserve"> </w:t>
      </w:r>
      <w:r w:rsidRPr="009F5DA9">
        <w:rPr>
          <w:rFonts w:ascii="Times New Roman" w:hAnsi="Times New Roman" w:cs="Times New Roman"/>
        </w:rPr>
        <w:t>че през последните няколко години се наблюдава известно подобрение</w:t>
      </w:r>
      <w:r>
        <w:rPr>
          <w:rFonts w:ascii="Times New Roman" w:hAnsi="Times New Roman" w:cs="Times New Roman"/>
        </w:rPr>
        <w:t>, с</w:t>
      </w:r>
      <w:r w:rsidRPr="009F5DA9">
        <w:rPr>
          <w:rFonts w:ascii="Times New Roman" w:hAnsi="Times New Roman" w:cs="Times New Roman"/>
        </w:rPr>
        <w:t>траната изостава по отношение на електронното управление</w:t>
      </w:r>
      <w:r>
        <w:rPr>
          <w:rFonts w:ascii="Times New Roman" w:hAnsi="Times New Roman" w:cs="Times New Roman"/>
        </w:rPr>
        <w:t xml:space="preserve"> (вж. част 2.4.).</w:t>
      </w:r>
      <w:r w:rsidRPr="009F5DA9">
        <w:rPr>
          <w:rFonts w:ascii="Times New Roman" w:hAnsi="Times New Roman" w:cs="Times New Roman"/>
        </w:rPr>
        <w:t xml:space="preserve"> </w:t>
      </w:r>
    </w:p>
    <w:p w:rsidR="00AE0F90" w:rsidRPr="00426B9A" w:rsidRDefault="00AE0F90" w:rsidP="00AE0F90">
      <w:pPr>
        <w:pStyle w:val="Heading2"/>
        <w:numPr>
          <w:ilvl w:val="1"/>
          <w:numId w:val="16"/>
        </w:numPr>
        <w:rPr>
          <w:color w:val="1F497D"/>
        </w:rPr>
      </w:pPr>
      <w:bookmarkStart w:id="27" w:name="_Toc791813"/>
      <w:r w:rsidRPr="00426B9A">
        <w:rPr>
          <w:color w:val="1F497D"/>
        </w:rPr>
        <w:lastRenderedPageBreak/>
        <w:t xml:space="preserve">Бизнес среда и електронно </w:t>
      </w:r>
      <w:r>
        <w:rPr>
          <w:color w:val="1F497D"/>
        </w:rPr>
        <w:t>управление</w:t>
      </w:r>
      <w:bookmarkEnd w:id="27"/>
    </w:p>
    <w:p w:rsidR="00AE0F90" w:rsidRDefault="00AE0F90" w:rsidP="00AE0F90">
      <w:pPr>
        <w:pStyle w:val="ListParagraph"/>
        <w:spacing w:line="269" w:lineRule="auto"/>
        <w:ind w:left="0" w:firstLine="0"/>
        <w:contextualSpacing w:val="0"/>
        <w:jc w:val="both"/>
        <w:rPr>
          <w:rFonts w:ascii="Times New Roman" w:hAnsi="Times New Roman" w:cs="Times New Roman"/>
          <w:i/>
        </w:rPr>
      </w:pPr>
      <w:r w:rsidRPr="00C34929">
        <w:rPr>
          <w:rFonts w:ascii="Times New Roman" w:hAnsi="Times New Roman" w:cs="Times New Roman"/>
          <w:i/>
        </w:rPr>
        <w:t xml:space="preserve">Усилията за подобряване на бизнес средата изостават спрямо тези в сравнимите икономики и България губи позиции в глобален план. Правенето на бизнес в страната продължава да бъде възпрепятствано от регулаторната рамка в области като издаване на разрешително за строеж, свързване с електричество, </w:t>
      </w:r>
      <w:r>
        <w:rPr>
          <w:rFonts w:ascii="Times New Roman" w:hAnsi="Times New Roman" w:cs="Times New Roman"/>
          <w:i/>
        </w:rPr>
        <w:t>уредба на</w:t>
      </w:r>
      <w:r w:rsidRPr="00C34929">
        <w:rPr>
          <w:rFonts w:ascii="Times New Roman" w:hAnsi="Times New Roman" w:cs="Times New Roman"/>
          <w:i/>
        </w:rPr>
        <w:t xml:space="preserve"> несъстоятелност</w:t>
      </w:r>
      <w:r>
        <w:rPr>
          <w:rFonts w:ascii="Times New Roman" w:hAnsi="Times New Roman" w:cs="Times New Roman"/>
          <w:i/>
        </w:rPr>
        <w:t xml:space="preserve">та; предизвикателства остават </w:t>
      </w:r>
      <w:r w:rsidRPr="00C34929">
        <w:rPr>
          <w:rFonts w:ascii="Times New Roman" w:hAnsi="Times New Roman" w:cs="Times New Roman"/>
          <w:i/>
        </w:rPr>
        <w:t xml:space="preserve"> липсата на адекватна инфраструктура</w:t>
      </w:r>
      <w:r>
        <w:rPr>
          <w:rFonts w:ascii="Times New Roman" w:hAnsi="Times New Roman" w:cs="Times New Roman"/>
          <w:i/>
        </w:rPr>
        <w:t xml:space="preserve"> и</w:t>
      </w:r>
      <w:r w:rsidRPr="00C34929">
        <w:rPr>
          <w:rFonts w:ascii="Times New Roman" w:hAnsi="Times New Roman" w:cs="Times New Roman"/>
          <w:i/>
        </w:rPr>
        <w:t xml:space="preserve"> недостигът на квалифицирани кадри </w:t>
      </w:r>
      <w:r>
        <w:rPr>
          <w:rFonts w:ascii="Times New Roman" w:hAnsi="Times New Roman" w:cs="Times New Roman"/>
          <w:i/>
        </w:rPr>
        <w:t>с адекватни</w:t>
      </w:r>
      <w:r w:rsidRPr="00C34929">
        <w:rPr>
          <w:rFonts w:ascii="Times New Roman" w:hAnsi="Times New Roman" w:cs="Times New Roman"/>
          <w:i/>
        </w:rPr>
        <w:t xml:space="preserve"> умения</w:t>
      </w:r>
      <w:r>
        <w:rPr>
          <w:rFonts w:ascii="Times New Roman" w:hAnsi="Times New Roman" w:cs="Times New Roman"/>
          <w:i/>
        </w:rPr>
        <w:t xml:space="preserve">; </w:t>
      </w:r>
      <w:r w:rsidRPr="006F2EF7">
        <w:rPr>
          <w:rFonts w:ascii="Times New Roman" w:hAnsi="Times New Roman" w:cs="Times New Roman"/>
          <w:i/>
        </w:rPr>
        <w:t xml:space="preserve">честите промени в </w:t>
      </w:r>
      <w:r>
        <w:rPr>
          <w:rFonts w:ascii="Times New Roman" w:hAnsi="Times New Roman" w:cs="Times New Roman"/>
          <w:i/>
        </w:rPr>
        <w:t xml:space="preserve">нормативната уредба и бавното прилагане </w:t>
      </w:r>
      <w:r w:rsidRPr="006F2EF7">
        <w:rPr>
          <w:rFonts w:ascii="Times New Roman" w:hAnsi="Times New Roman" w:cs="Times New Roman"/>
          <w:i/>
        </w:rPr>
        <w:t>отслабват ефективността на законодателство</w:t>
      </w:r>
      <w:r>
        <w:rPr>
          <w:rFonts w:ascii="Times New Roman" w:hAnsi="Times New Roman" w:cs="Times New Roman"/>
          <w:i/>
        </w:rPr>
        <w:t>то</w:t>
      </w:r>
      <w:r w:rsidRPr="006F2EF7">
        <w:rPr>
          <w:rFonts w:ascii="Times New Roman" w:hAnsi="Times New Roman" w:cs="Times New Roman"/>
          <w:i/>
        </w:rPr>
        <w:t xml:space="preserve"> и възпират инвестициите</w:t>
      </w:r>
      <w:r>
        <w:rPr>
          <w:rFonts w:ascii="Times New Roman" w:hAnsi="Times New Roman" w:cs="Times New Roman"/>
          <w:i/>
        </w:rPr>
        <w:t>.</w:t>
      </w:r>
      <w:r w:rsidRPr="00C34929">
        <w:rPr>
          <w:rFonts w:ascii="Times New Roman" w:hAnsi="Times New Roman" w:cs="Times New Roman"/>
          <w:i/>
        </w:rPr>
        <w:t xml:space="preserve"> </w:t>
      </w:r>
      <w:r>
        <w:rPr>
          <w:rFonts w:ascii="Times New Roman" w:hAnsi="Times New Roman" w:cs="Times New Roman"/>
          <w:i/>
        </w:rPr>
        <w:t xml:space="preserve">Страната </w:t>
      </w:r>
      <w:r w:rsidRPr="00C34929">
        <w:rPr>
          <w:rFonts w:ascii="Times New Roman" w:hAnsi="Times New Roman" w:cs="Times New Roman"/>
          <w:i/>
        </w:rPr>
        <w:t>остава в групата с най-слаби показатели за добро управление в ЕС</w:t>
      </w:r>
      <w:r>
        <w:rPr>
          <w:rFonts w:ascii="Times New Roman" w:hAnsi="Times New Roman" w:cs="Times New Roman"/>
          <w:i/>
        </w:rPr>
        <w:t>.</w:t>
      </w:r>
      <w:r w:rsidRPr="00C34929">
        <w:rPr>
          <w:rFonts w:ascii="Times New Roman" w:hAnsi="Times New Roman" w:cs="Times New Roman"/>
          <w:i/>
        </w:rPr>
        <w:t xml:space="preserve"> Качество на публичните институции </w:t>
      </w:r>
      <w:r>
        <w:rPr>
          <w:rFonts w:ascii="Times New Roman" w:hAnsi="Times New Roman" w:cs="Times New Roman"/>
          <w:i/>
        </w:rPr>
        <w:t xml:space="preserve">продължава да е лимитиращ фактор </w:t>
      </w:r>
      <w:r w:rsidRPr="00C34929">
        <w:rPr>
          <w:rFonts w:ascii="Times New Roman" w:hAnsi="Times New Roman" w:cs="Times New Roman"/>
          <w:i/>
        </w:rPr>
        <w:t xml:space="preserve">пред конкурентоспособността на икономиката. Въпреки </w:t>
      </w:r>
      <w:r>
        <w:rPr>
          <w:rFonts w:ascii="Times New Roman" w:hAnsi="Times New Roman" w:cs="Times New Roman"/>
          <w:i/>
        </w:rPr>
        <w:t xml:space="preserve">някои постижения по отношение на </w:t>
      </w:r>
      <w:r w:rsidRPr="00C34929">
        <w:rPr>
          <w:rFonts w:ascii="Times New Roman" w:hAnsi="Times New Roman" w:cs="Times New Roman"/>
          <w:i/>
        </w:rPr>
        <w:t>намаляване</w:t>
      </w:r>
      <w:r>
        <w:rPr>
          <w:rFonts w:ascii="Times New Roman" w:hAnsi="Times New Roman" w:cs="Times New Roman"/>
          <w:i/>
        </w:rPr>
        <w:t>то</w:t>
      </w:r>
      <w:r w:rsidRPr="00C34929">
        <w:rPr>
          <w:rFonts w:ascii="Times New Roman" w:hAnsi="Times New Roman" w:cs="Times New Roman"/>
          <w:i/>
        </w:rPr>
        <w:t xml:space="preserve"> на административната тежест</w:t>
      </w:r>
      <w:r>
        <w:rPr>
          <w:rFonts w:ascii="Times New Roman" w:hAnsi="Times New Roman" w:cs="Times New Roman"/>
          <w:i/>
        </w:rPr>
        <w:t>, тя все още остава значителна.</w:t>
      </w:r>
      <w:r w:rsidRPr="006F2EF7">
        <w:t xml:space="preserve"> </w:t>
      </w:r>
      <w:r>
        <w:rPr>
          <w:rFonts w:ascii="Times New Roman" w:hAnsi="Times New Roman" w:cs="Times New Roman"/>
          <w:i/>
        </w:rPr>
        <w:t xml:space="preserve">България </w:t>
      </w:r>
      <w:r w:rsidRPr="006F2EF7">
        <w:rPr>
          <w:rFonts w:ascii="Times New Roman" w:hAnsi="Times New Roman" w:cs="Times New Roman"/>
          <w:i/>
        </w:rPr>
        <w:t xml:space="preserve">изостава по отношение на електронното управление, </w:t>
      </w:r>
      <w:r>
        <w:rPr>
          <w:rFonts w:ascii="Times New Roman" w:hAnsi="Times New Roman" w:cs="Times New Roman"/>
          <w:i/>
        </w:rPr>
        <w:t>но</w:t>
      </w:r>
      <w:r w:rsidRPr="006F2EF7">
        <w:rPr>
          <w:rFonts w:ascii="Times New Roman" w:hAnsi="Times New Roman" w:cs="Times New Roman"/>
          <w:i/>
        </w:rPr>
        <w:t xml:space="preserve"> през последните няколко години се наблюдава подобрение</w:t>
      </w:r>
      <w:r>
        <w:rPr>
          <w:rFonts w:ascii="Times New Roman" w:hAnsi="Times New Roman" w:cs="Times New Roman"/>
          <w:i/>
        </w:rPr>
        <w:t xml:space="preserve"> в резултат на</w:t>
      </w:r>
      <w:r w:rsidRPr="006F2EF7">
        <w:t xml:space="preserve"> </w:t>
      </w:r>
      <w:r w:rsidRPr="006F2EF7">
        <w:rPr>
          <w:rFonts w:ascii="Times New Roman" w:hAnsi="Times New Roman" w:cs="Times New Roman"/>
          <w:i/>
        </w:rPr>
        <w:t xml:space="preserve">консолидирането на функциите и процесите, свързвани с електронното управление, в </w:t>
      </w:r>
      <w:r>
        <w:rPr>
          <w:rFonts w:ascii="Times New Roman" w:hAnsi="Times New Roman" w:cs="Times New Roman"/>
          <w:i/>
        </w:rPr>
        <w:t>единна структура</w:t>
      </w:r>
      <w:r w:rsidRPr="006F2EF7">
        <w:rPr>
          <w:rFonts w:ascii="Times New Roman" w:hAnsi="Times New Roman" w:cs="Times New Roman"/>
          <w:i/>
        </w:rPr>
        <w:t xml:space="preserve"> и предприетите мерки за подобряване на електронните обществени услуги</w:t>
      </w:r>
      <w:r>
        <w:rPr>
          <w:rFonts w:ascii="Times New Roman" w:hAnsi="Times New Roman" w:cs="Times New Roman"/>
          <w:i/>
        </w:rPr>
        <w:t xml:space="preserve">. Сериозен напредък е постигнат по адресиране на проблемите в областта на обществените поръчки, </w:t>
      </w:r>
      <w:r w:rsidRPr="00BB6CBB">
        <w:rPr>
          <w:rFonts w:ascii="Times New Roman" w:hAnsi="Times New Roman" w:cs="Times New Roman"/>
          <w:i/>
        </w:rPr>
        <w:t>посредством амбициозна реформа, обвързана и с изпълнението на част от предварителните условия за европейските стр</w:t>
      </w:r>
      <w:r>
        <w:rPr>
          <w:rFonts w:ascii="Times New Roman" w:hAnsi="Times New Roman" w:cs="Times New Roman"/>
          <w:i/>
        </w:rPr>
        <w:t xml:space="preserve">уктурни и инвестиционни фондове. Въвеждането на електронни поръчки и използването на потенциала на </w:t>
      </w:r>
      <w:r w:rsidRPr="00BB6CBB">
        <w:rPr>
          <w:rFonts w:ascii="Times New Roman" w:hAnsi="Times New Roman" w:cs="Times New Roman"/>
          <w:i/>
        </w:rPr>
        <w:t>централизираните покупки</w:t>
      </w:r>
      <w:r>
        <w:rPr>
          <w:rFonts w:ascii="Times New Roman" w:hAnsi="Times New Roman" w:cs="Times New Roman"/>
          <w:i/>
        </w:rPr>
        <w:t xml:space="preserve"> ще позволи допълнително оптимизиране на системата, при нарастване на публичността на възлагане, </w:t>
      </w:r>
      <w:r w:rsidRPr="00BB6CBB">
        <w:rPr>
          <w:rFonts w:ascii="Times New Roman" w:hAnsi="Times New Roman" w:cs="Times New Roman"/>
          <w:i/>
        </w:rPr>
        <w:t>подобряване на общата административна ефективност</w:t>
      </w:r>
      <w:r>
        <w:rPr>
          <w:rFonts w:ascii="Times New Roman" w:hAnsi="Times New Roman" w:cs="Times New Roman"/>
          <w:i/>
        </w:rPr>
        <w:t>, скъсяване на продължителността на процеса и</w:t>
      </w:r>
      <w:r w:rsidRPr="00C0583A">
        <w:t xml:space="preserve"> </w:t>
      </w:r>
      <w:r w:rsidRPr="00C0583A">
        <w:rPr>
          <w:rFonts w:ascii="Times New Roman" w:hAnsi="Times New Roman" w:cs="Times New Roman"/>
          <w:i/>
        </w:rPr>
        <w:t>намал</w:t>
      </w:r>
      <w:r>
        <w:rPr>
          <w:rFonts w:ascii="Times New Roman" w:hAnsi="Times New Roman" w:cs="Times New Roman"/>
          <w:i/>
        </w:rPr>
        <w:t xml:space="preserve">яване </w:t>
      </w:r>
      <w:r w:rsidRPr="00C0583A">
        <w:rPr>
          <w:rFonts w:ascii="Times New Roman" w:hAnsi="Times New Roman" w:cs="Times New Roman"/>
          <w:i/>
        </w:rPr>
        <w:t>н</w:t>
      </w:r>
      <w:r>
        <w:rPr>
          <w:rFonts w:ascii="Times New Roman" w:hAnsi="Times New Roman" w:cs="Times New Roman"/>
          <w:i/>
        </w:rPr>
        <w:t>а</w:t>
      </w:r>
      <w:r w:rsidRPr="00C0583A">
        <w:rPr>
          <w:rFonts w:ascii="Times New Roman" w:hAnsi="Times New Roman" w:cs="Times New Roman"/>
          <w:i/>
        </w:rPr>
        <w:t xml:space="preserve"> риск</w:t>
      </w:r>
      <w:r>
        <w:rPr>
          <w:rFonts w:ascii="Times New Roman" w:hAnsi="Times New Roman" w:cs="Times New Roman"/>
          <w:i/>
        </w:rPr>
        <w:t>а</w:t>
      </w:r>
      <w:r w:rsidRPr="00C0583A">
        <w:rPr>
          <w:rFonts w:ascii="Times New Roman" w:hAnsi="Times New Roman" w:cs="Times New Roman"/>
          <w:i/>
        </w:rPr>
        <w:t xml:space="preserve"> от корупция и измами</w:t>
      </w:r>
      <w:r>
        <w:rPr>
          <w:rFonts w:ascii="Times New Roman" w:hAnsi="Times New Roman" w:cs="Times New Roman"/>
          <w:i/>
        </w:rPr>
        <w:t>.</w:t>
      </w:r>
    </w:p>
    <w:p w:rsidR="00AE0F90" w:rsidRDefault="00AE0F90" w:rsidP="00AE0F90">
      <w:pPr>
        <w:pStyle w:val="ListParagraph"/>
        <w:spacing w:line="269" w:lineRule="auto"/>
        <w:ind w:left="0" w:firstLine="0"/>
        <w:contextualSpacing w:val="0"/>
        <w:jc w:val="both"/>
        <w:rPr>
          <w:rFonts w:ascii="Times New Roman" w:hAnsi="Times New Roman" w:cs="Times New Roman"/>
          <w:lang w:val="en-US"/>
        </w:rPr>
      </w:pPr>
      <w:r>
        <w:rPr>
          <w:rFonts w:ascii="Times New Roman" w:hAnsi="Times New Roman" w:cs="Times New Roman"/>
        </w:rPr>
        <w:t xml:space="preserve">В периода след присъединяването на страната към ЕС усилията на правителството за подобряване на </w:t>
      </w:r>
      <w:r w:rsidRPr="00207C3C">
        <w:rPr>
          <w:rFonts w:ascii="Times New Roman" w:eastAsia="Calibri" w:hAnsi="Times New Roman" w:cs="Times New Roman"/>
          <w:b/>
          <w:color w:val="365F91"/>
          <w:lang w:eastAsia="en-US"/>
        </w:rPr>
        <w:t>бизнес средата</w:t>
      </w:r>
      <w:r>
        <w:rPr>
          <w:rFonts w:ascii="Times New Roman" w:hAnsi="Times New Roman" w:cs="Times New Roman"/>
        </w:rPr>
        <w:t xml:space="preserve"> изостават спрямо тези в сравнимите икономики, в резултат на което България губи позиции в глобален план. </w:t>
      </w:r>
      <w:r w:rsidRPr="00382DAD">
        <w:rPr>
          <w:rFonts w:ascii="Times New Roman" w:hAnsi="Times New Roman" w:cs="Times New Roman"/>
        </w:rPr>
        <w:t xml:space="preserve">Според изследването </w:t>
      </w:r>
      <w:proofErr w:type="spellStart"/>
      <w:r w:rsidRPr="00382DAD">
        <w:rPr>
          <w:rFonts w:ascii="Times New Roman" w:hAnsi="Times New Roman" w:cs="Times New Roman"/>
          <w:i/>
        </w:rPr>
        <w:t>DoingBusiness</w:t>
      </w:r>
      <w:proofErr w:type="spellEnd"/>
      <w:r w:rsidRPr="00382DAD">
        <w:rPr>
          <w:rFonts w:ascii="Times New Roman" w:hAnsi="Times New Roman" w:cs="Times New Roman"/>
          <w:i/>
        </w:rPr>
        <w:t xml:space="preserve"> 201</w:t>
      </w:r>
      <w:r>
        <w:rPr>
          <w:rFonts w:ascii="Times New Roman" w:hAnsi="Times New Roman" w:cs="Times New Roman"/>
          <w:i/>
        </w:rPr>
        <w:t>8</w:t>
      </w:r>
      <w:r w:rsidRPr="00382DAD">
        <w:rPr>
          <w:rFonts w:ascii="Times New Roman" w:hAnsi="Times New Roman" w:cs="Times New Roman"/>
        </w:rPr>
        <w:t xml:space="preserve"> на Световната банка, България се нарежда на 2</w:t>
      </w:r>
      <w:r>
        <w:rPr>
          <w:rFonts w:ascii="Times New Roman" w:hAnsi="Times New Roman" w:cs="Times New Roman"/>
        </w:rPr>
        <w:t>2</w:t>
      </w:r>
      <w:r w:rsidRPr="00382DAD">
        <w:rPr>
          <w:rFonts w:ascii="Times New Roman" w:hAnsi="Times New Roman" w:cs="Times New Roman"/>
        </w:rPr>
        <w:t>-</w:t>
      </w:r>
      <w:r>
        <w:rPr>
          <w:rFonts w:ascii="Times New Roman" w:hAnsi="Times New Roman" w:cs="Times New Roman"/>
        </w:rPr>
        <w:t>р</w:t>
      </w:r>
      <w:r w:rsidRPr="00382DAD">
        <w:rPr>
          <w:rFonts w:ascii="Times New Roman" w:hAnsi="Times New Roman" w:cs="Times New Roman"/>
        </w:rPr>
        <w:t xml:space="preserve">а позиция в рамките на ЕС </w:t>
      </w:r>
      <w:r>
        <w:rPr>
          <w:rFonts w:ascii="Times New Roman" w:hAnsi="Times New Roman" w:cs="Times New Roman"/>
        </w:rPr>
        <w:t xml:space="preserve">(и на 50-то място в света) </w:t>
      </w:r>
      <w:r w:rsidRPr="00382DAD">
        <w:rPr>
          <w:rFonts w:ascii="Times New Roman" w:hAnsi="Times New Roman" w:cs="Times New Roman"/>
        </w:rPr>
        <w:t xml:space="preserve">по условия за правене на бизнес, като отбелязва </w:t>
      </w:r>
      <w:r>
        <w:rPr>
          <w:rFonts w:ascii="Times New Roman" w:hAnsi="Times New Roman" w:cs="Times New Roman"/>
        </w:rPr>
        <w:t>отстъпление</w:t>
      </w:r>
      <w:r w:rsidRPr="00382DAD">
        <w:rPr>
          <w:rFonts w:ascii="Times New Roman" w:hAnsi="Times New Roman" w:cs="Times New Roman"/>
        </w:rPr>
        <w:t xml:space="preserve"> от </w:t>
      </w:r>
      <w:r>
        <w:rPr>
          <w:rFonts w:ascii="Times New Roman" w:hAnsi="Times New Roman" w:cs="Times New Roman"/>
        </w:rPr>
        <w:t>6</w:t>
      </w:r>
      <w:r w:rsidRPr="00382DAD">
        <w:rPr>
          <w:rFonts w:ascii="Times New Roman" w:hAnsi="Times New Roman" w:cs="Times New Roman"/>
        </w:rPr>
        <w:t xml:space="preserve"> позици</w:t>
      </w:r>
      <w:r>
        <w:rPr>
          <w:rFonts w:ascii="Times New Roman" w:hAnsi="Times New Roman" w:cs="Times New Roman"/>
        </w:rPr>
        <w:t>и</w:t>
      </w:r>
      <w:r w:rsidRPr="00382DAD">
        <w:rPr>
          <w:rFonts w:ascii="Times New Roman" w:hAnsi="Times New Roman" w:cs="Times New Roman"/>
        </w:rPr>
        <w:t xml:space="preserve"> </w:t>
      </w:r>
      <w:r>
        <w:rPr>
          <w:rFonts w:ascii="Times New Roman" w:hAnsi="Times New Roman" w:cs="Times New Roman"/>
        </w:rPr>
        <w:t xml:space="preserve">(в рамките на ЕС) </w:t>
      </w:r>
      <w:r w:rsidRPr="00382DAD">
        <w:rPr>
          <w:rFonts w:ascii="Times New Roman" w:hAnsi="Times New Roman" w:cs="Times New Roman"/>
        </w:rPr>
        <w:t xml:space="preserve">спрямо представянето й </w:t>
      </w:r>
      <w:r>
        <w:rPr>
          <w:rFonts w:ascii="Times New Roman" w:hAnsi="Times New Roman" w:cs="Times New Roman"/>
        </w:rPr>
        <w:t>десет</w:t>
      </w:r>
      <w:r w:rsidRPr="00382DAD">
        <w:rPr>
          <w:rFonts w:ascii="Times New Roman" w:hAnsi="Times New Roman" w:cs="Times New Roman"/>
        </w:rPr>
        <w:t xml:space="preserve"> години по-рано.</w:t>
      </w:r>
      <w:r>
        <w:rPr>
          <w:rFonts w:ascii="Times New Roman" w:hAnsi="Times New Roman" w:cs="Times New Roman"/>
        </w:rPr>
        <w:t xml:space="preserve"> </w:t>
      </w:r>
      <w:r w:rsidRPr="00382DAD">
        <w:rPr>
          <w:rFonts w:ascii="Times New Roman" w:hAnsi="Times New Roman" w:cs="Times New Roman"/>
        </w:rPr>
        <w:t xml:space="preserve">Като предимства се очертават сравнително ниското данъчно бреме и в </w:t>
      </w:r>
      <w:r>
        <w:rPr>
          <w:rFonts w:ascii="Times New Roman" w:hAnsi="Times New Roman" w:cs="Times New Roman"/>
        </w:rPr>
        <w:t>известна</w:t>
      </w:r>
      <w:r w:rsidRPr="00382DAD">
        <w:rPr>
          <w:rFonts w:ascii="Times New Roman" w:hAnsi="Times New Roman" w:cs="Times New Roman"/>
        </w:rPr>
        <w:t xml:space="preserve"> част условията по регистриране на фирма. </w:t>
      </w:r>
      <w:r>
        <w:rPr>
          <w:rFonts w:ascii="Times New Roman" w:hAnsi="Times New Roman" w:cs="Times New Roman"/>
        </w:rPr>
        <w:t xml:space="preserve">Предприемачите </w:t>
      </w:r>
      <w:r w:rsidRPr="00382DAD">
        <w:rPr>
          <w:rFonts w:ascii="Times New Roman" w:hAnsi="Times New Roman" w:cs="Times New Roman"/>
        </w:rPr>
        <w:t>обаче продължават да срещат сериозни пречки в редица области като разходи и време за издаване на разрешително за строеж, разходи и време за свързване с електричество, разходи по обявяване в несъстоятелност и нисък дял на възстановени средства за кредиторите след приключване на процедурата.</w:t>
      </w:r>
    </w:p>
    <w:p w:rsidR="00AE0F90" w:rsidRPr="00983025" w:rsidRDefault="00AE0F90" w:rsidP="00AE0F90">
      <w:pPr>
        <w:pStyle w:val="ListParagraph"/>
        <w:spacing w:line="269" w:lineRule="auto"/>
        <w:ind w:left="0" w:firstLine="0"/>
        <w:contextualSpacing w:val="0"/>
        <w:jc w:val="both"/>
        <w:rPr>
          <w:rFonts w:ascii="Times New Roman" w:hAnsi="Times New Roman" w:cs="Times New Roman"/>
        </w:rPr>
      </w:pPr>
      <w:r w:rsidRPr="002B67CC">
        <w:rPr>
          <w:rFonts w:ascii="Times New Roman" w:hAnsi="Times New Roman" w:cs="Times New Roman"/>
        </w:rPr>
        <w:t>Сериозни предизвикателства пред българския бизнес – и съответно недостатъци в бизнес средата – остават липсата на адекватна инфраструктура (вж. части 2.6 и 2.3.2.), недостиг</w:t>
      </w:r>
      <w:r>
        <w:rPr>
          <w:rFonts w:ascii="Times New Roman" w:hAnsi="Times New Roman" w:cs="Times New Roman"/>
        </w:rPr>
        <w:t>ът</w:t>
      </w:r>
      <w:r w:rsidRPr="002B67CC">
        <w:rPr>
          <w:rFonts w:ascii="Times New Roman" w:hAnsi="Times New Roman" w:cs="Times New Roman"/>
        </w:rPr>
        <w:t xml:space="preserve"> на квалифицирани кадри (вж. част 2.2.4.) и несъответствието между търсените умения и предлаганите такива от страна на работната сила, във връзка с недостатъците на образователната система (вж. част  2.2.2).</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B2071B">
        <w:rPr>
          <w:rFonts w:ascii="Times New Roman" w:hAnsi="Times New Roman" w:cs="Times New Roman"/>
        </w:rPr>
        <w:t xml:space="preserve">Според класацията </w:t>
      </w:r>
      <w:proofErr w:type="spellStart"/>
      <w:r w:rsidRPr="00B2071B">
        <w:rPr>
          <w:rFonts w:ascii="Times New Roman" w:hAnsi="Times New Roman" w:cs="Times New Roman"/>
          <w:i/>
        </w:rPr>
        <w:t>Economic</w:t>
      </w:r>
      <w:proofErr w:type="spellEnd"/>
      <w:r w:rsidRPr="00B2071B">
        <w:rPr>
          <w:rFonts w:ascii="Times New Roman" w:hAnsi="Times New Roman" w:cs="Times New Roman"/>
          <w:i/>
        </w:rPr>
        <w:t xml:space="preserve"> </w:t>
      </w:r>
      <w:proofErr w:type="spellStart"/>
      <w:r w:rsidRPr="00B2071B">
        <w:rPr>
          <w:rFonts w:ascii="Times New Roman" w:hAnsi="Times New Roman" w:cs="Times New Roman"/>
          <w:i/>
        </w:rPr>
        <w:t>Freedom</w:t>
      </w:r>
      <w:proofErr w:type="spellEnd"/>
      <w:r w:rsidRPr="00B2071B">
        <w:rPr>
          <w:rFonts w:ascii="Times New Roman" w:hAnsi="Times New Roman" w:cs="Times New Roman"/>
          <w:i/>
        </w:rPr>
        <w:t xml:space="preserve"> </w:t>
      </w:r>
      <w:proofErr w:type="spellStart"/>
      <w:r w:rsidRPr="00B2071B">
        <w:rPr>
          <w:rFonts w:ascii="Times New Roman" w:hAnsi="Times New Roman" w:cs="Times New Roman"/>
          <w:i/>
        </w:rPr>
        <w:t>of</w:t>
      </w:r>
      <w:proofErr w:type="spellEnd"/>
      <w:r w:rsidRPr="00B2071B">
        <w:rPr>
          <w:rFonts w:ascii="Times New Roman" w:hAnsi="Times New Roman" w:cs="Times New Roman"/>
          <w:i/>
        </w:rPr>
        <w:t xml:space="preserve"> </w:t>
      </w:r>
      <w:proofErr w:type="spellStart"/>
      <w:r w:rsidRPr="00B2071B">
        <w:rPr>
          <w:rFonts w:ascii="Times New Roman" w:hAnsi="Times New Roman" w:cs="Times New Roman"/>
          <w:i/>
        </w:rPr>
        <w:t>the</w:t>
      </w:r>
      <w:proofErr w:type="spellEnd"/>
      <w:r w:rsidRPr="00B2071B">
        <w:rPr>
          <w:rFonts w:ascii="Times New Roman" w:hAnsi="Times New Roman" w:cs="Times New Roman"/>
          <w:i/>
        </w:rPr>
        <w:t xml:space="preserve"> World 2018</w:t>
      </w:r>
      <w:r w:rsidRPr="00B2071B">
        <w:rPr>
          <w:rFonts w:ascii="Times New Roman" w:hAnsi="Times New Roman" w:cs="Times New Roman"/>
        </w:rPr>
        <w:t xml:space="preserve"> България се нарежда на 1</w:t>
      </w:r>
      <w:r>
        <w:rPr>
          <w:rFonts w:ascii="Times New Roman" w:hAnsi="Times New Roman" w:cs="Times New Roman"/>
        </w:rPr>
        <w:t>9</w:t>
      </w:r>
      <w:r w:rsidRPr="00B2071B">
        <w:rPr>
          <w:rFonts w:ascii="Times New Roman" w:hAnsi="Times New Roman" w:cs="Times New Roman"/>
        </w:rPr>
        <w:t xml:space="preserve">-то място в рамките на ЕС (46-то място в света) по степен на икономическа свобода, изпреварвайки не само част от </w:t>
      </w:r>
      <w:proofErr w:type="spellStart"/>
      <w:r w:rsidRPr="00B2071B">
        <w:rPr>
          <w:rFonts w:ascii="Times New Roman" w:hAnsi="Times New Roman" w:cs="Times New Roman"/>
        </w:rPr>
        <w:t>новоприсъединилите</w:t>
      </w:r>
      <w:proofErr w:type="spellEnd"/>
      <w:r w:rsidRPr="00B2071B">
        <w:rPr>
          <w:rFonts w:ascii="Times New Roman" w:hAnsi="Times New Roman" w:cs="Times New Roman"/>
        </w:rPr>
        <w:t xml:space="preserve"> се държави – членки на ЕС, но и стари такива като Франция, Италия и Белгия. До голяма степен тази позиция на страната се дължи на ниския размер на правителството (3-то място в ЕС), както и на доброто представяне по отношение на регулирането на кредита (9-то място в ЕС) и трудовия пазар (12-то място в ЕС). </w:t>
      </w:r>
      <w:r w:rsidRPr="008E338C">
        <w:rPr>
          <w:rFonts w:ascii="Times New Roman" w:hAnsi="Times New Roman" w:cs="Times New Roman"/>
        </w:rPr>
        <w:t>В същото време, остава крайно незадоволително представянето на страната по отношение на неприкосновеността на частната собственост. Доверието в полицията (27-мо място в ЕС, 113-то място в света) и разходите на бизнеса, свързани с престъпността (28-мо място в ЕС, 107-мо място в света) показват, че бизнесът не разчита, че полицията може да налага законите и да осигурява сигурността и реда, което неминуемо се отразява на решението за потенциални инвестиции в страната.</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426B9A">
        <w:rPr>
          <w:rFonts w:ascii="Times New Roman" w:hAnsi="Times New Roman" w:cs="Times New Roman"/>
        </w:rPr>
        <w:lastRenderedPageBreak/>
        <w:t xml:space="preserve">Един от проблемите пред конкурентоспособността на икономиката остават </w:t>
      </w:r>
      <w:r w:rsidRPr="00207C3C">
        <w:rPr>
          <w:rFonts w:ascii="Times New Roman" w:eastAsia="Calibri" w:hAnsi="Times New Roman" w:cs="Times New Roman"/>
          <w:b/>
          <w:color w:val="365F91"/>
          <w:lang w:eastAsia="en-US"/>
        </w:rPr>
        <w:t>публичните институции</w:t>
      </w:r>
      <w:r w:rsidRPr="00426B9A">
        <w:rPr>
          <w:rFonts w:ascii="Times New Roman" w:hAnsi="Times New Roman" w:cs="Times New Roman"/>
        </w:rPr>
        <w:t xml:space="preserve"> в страната. В изследването на Световния икономически форум </w:t>
      </w:r>
      <w:proofErr w:type="spellStart"/>
      <w:r w:rsidRPr="00426B9A">
        <w:rPr>
          <w:rFonts w:ascii="Times New Roman" w:hAnsi="Times New Roman" w:cs="Times New Roman"/>
          <w:i/>
        </w:rPr>
        <w:t>Global</w:t>
      </w:r>
      <w:proofErr w:type="spellEnd"/>
      <w:r w:rsidRPr="00426B9A">
        <w:rPr>
          <w:rFonts w:ascii="Times New Roman" w:hAnsi="Times New Roman" w:cs="Times New Roman"/>
          <w:i/>
        </w:rPr>
        <w:t xml:space="preserve"> </w:t>
      </w:r>
      <w:proofErr w:type="spellStart"/>
      <w:r w:rsidRPr="00426B9A">
        <w:rPr>
          <w:rFonts w:ascii="Times New Roman" w:hAnsi="Times New Roman" w:cs="Times New Roman"/>
          <w:i/>
        </w:rPr>
        <w:t>Competitiveness</w:t>
      </w:r>
      <w:proofErr w:type="spellEnd"/>
      <w:r w:rsidRPr="00426B9A">
        <w:rPr>
          <w:rFonts w:ascii="Times New Roman" w:hAnsi="Times New Roman" w:cs="Times New Roman"/>
          <w:i/>
        </w:rPr>
        <w:t xml:space="preserve"> </w:t>
      </w:r>
      <w:proofErr w:type="spellStart"/>
      <w:r w:rsidRPr="00426B9A">
        <w:rPr>
          <w:rFonts w:ascii="Times New Roman" w:hAnsi="Times New Roman" w:cs="Times New Roman"/>
          <w:i/>
        </w:rPr>
        <w:t>Report</w:t>
      </w:r>
      <w:proofErr w:type="spellEnd"/>
      <w:r w:rsidRPr="00426B9A">
        <w:rPr>
          <w:rFonts w:ascii="Times New Roman" w:hAnsi="Times New Roman" w:cs="Times New Roman"/>
          <w:i/>
        </w:rPr>
        <w:t xml:space="preserve"> 2017-2018</w:t>
      </w:r>
      <w:r w:rsidRPr="00426B9A">
        <w:rPr>
          <w:rFonts w:ascii="Times New Roman" w:hAnsi="Times New Roman" w:cs="Times New Roman"/>
        </w:rPr>
        <w:t xml:space="preserve"> по този показател България е поставена на 107-мо място в света (и на последното място в ЕС). Динамиката в представянето на страната по </w:t>
      </w:r>
      <w:proofErr w:type="spellStart"/>
      <w:r w:rsidRPr="00426B9A">
        <w:rPr>
          <w:rFonts w:ascii="Times New Roman" w:hAnsi="Times New Roman" w:cs="Times New Roman"/>
        </w:rPr>
        <w:t>подиндикаторите</w:t>
      </w:r>
      <w:proofErr w:type="spellEnd"/>
      <w:r w:rsidRPr="00426B9A">
        <w:rPr>
          <w:rFonts w:ascii="Times New Roman" w:hAnsi="Times New Roman" w:cs="Times New Roman"/>
        </w:rPr>
        <w:t>, включени в показателя, показва недостатъчен напредък.</w:t>
      </w:r>
      <w:r w:rsidRPr="00722A9F">
        <w:rPr>
          <w:rFonts w:ascii="Times New Roman" w:hAnsi="Times New Roman" w:cs="Times New Roman"/>
        </w:rPr>
        <w:t xml:space="preserve"> Липсата на доверие в публичните</w:t>
      </w:r>
      <w:r>
        <w:rPr>
          <w:rFonts w:ascii="Times New Roman" w:hAnsi="Times New Roman" w:cs="Times New Roman"/>
        </w:rPr>
        <w:t xml:space="preserve"> </w:t>
      </w:r>
      <w:r w:rsidRPr="00722A9F">
        <w:rPr>
          <w:rFonts w:ascii="Times New Roman" w:hAnsi="Times New Roman" w:cs="Times New Roman"/>
        </w:rPr>
        <w:t>институции и осъзнатата липса</w:t>
      </w:r>
      <w:r>
        <w:rPr>
          <w:rFonts w:ascii="Times New Roman" w:hAnsi="Times New Roman" w:cs="Times New Roman"/>
        </w:rPr>
        <w:t xml:space="preserve"> </w:t>
      </w:r>
      <w:r w:rsidRPr="00722A9F">
        <w:rPr>
          <w:rFonts w:ascii="Times New Roman" w:hAnsi="Times New Roman" w:cs="Times New Roman"/>
        </w:rPr>
        <w:t>на независимост на съдебната</w:t>
      </w:r>
      <w:r>
        <w:rPr>
          <w:rFonts w:ascii="Times New Roman" w:hAnsi="Times New Roman" w:cs="Times New Roman"/>
        </w:rPr>
        <w:t xml:space="preserve"> </w:t>
      </w:r>
      <w:r w:rsidRPr="00722A9F">
        <w:rPr>
          <w:rFonts w:ascii="Times New Roman" w:hAnsi="Times New Roman" w:cs="Times New Roman"/>
        </w:rPr>
        <w:t>власт подкопават международната</w:t>
      </w:r>
      <w:r>
        <w:rPr>
          <w:rFonts w:ascii="Times New Roman" w:hAnsi="Times New Roman" w:cs="Times New Roman"/>
        </w:rPr>
        <w:t xml:space="preserve"> </w:t>
      </w:r>
      <w:r w:rsidRPr="00722A9F">
        <w:rPr>
          <w:rFonts w:ascii="Times New Roman" w:hAnsi="Times New Roman" w:cs="Times New Roman"/>
        </w:rPr>
        <w:t xml:space="preserve">конкурентоспособност </w:t>
      </w:r>
      <w:r>
        <w:rPr>
          <w:rFonts w:ascii="Times New Roman" w:hAnsi="Times New Roman" w:cs="Times New Roman"/>
        </w:rPr>
        <w:t>на</w:t>
      </w:r>
      <w:r w:rsidRPr="00722A9F">
        <w:rPr>
          <w:rFonts w:ascii="Times New Roman" w:hAnsi="Times New Roman" w:cs="Times New Roman"/>
        </w:rPr>
        <w:t xml:space="preserve"> икономиката, тъй</w:t>
      </w:r>
      <w:r>
        <w:rPr>
          <w:rFonts w:ascii="Times New Roman" w:hAnsi="Times New Roman" w:cs="Times New Roman"/>
        </w:rPr>
        <w:t xml:space="preserve"> </w:t>
      </w:r>
      <w:r w:rsidRPr="00722A9F">
        <w:rPr>
          <w:rFonts w:ascii="Times New Roman" w:hAnsi="Times New Roman" w:cs="Times New Roman"/>
        </w:rPr>
        <w:t>като компрометират пазарния обмен и</w:t>
      </w:r>
      <w:r>
        <w:rPr>
          <w:rFonts w:ascii="Times New Roman" w:hAnsi="Times New Roman" w:cs="Times New Roman"/>
        </w:rPr>
        <w:t xml:space="preserve"> </w:t>
      </w:r>
      <w:r w:rsidRPr="00722A9F">
        <w:rPr>
          <w:rFonts w:ascii="Times New Roman" w:hAnsi="Times New Roman" w:cs="Times New Roman"/>
        </w:rPr>
        <w:t>мащабните дългосрочни инвестиционни</w:t>
      </w:r>
      <w:r>
        <w:rPr>
          <w:rFonts w:ascii="Times New Roman" w:hAnsi="Times New Roman" w:cs="Times New Roman"/>
        </w:rPr>
        <w:t xml:space="preserve"> </w:t>
      </w:r>
      <w:r w:rsidRPr="00722A9F">
        <w:rPr>
          <w:rFonts w:ascii="Times New Roman" w:hAnsi="Times New Roman" w:cs="Times New Roman"/>
        </w:rPr>
        <w:t>ангажименти от страна на фирмите</w:t>
      </w:r>
      <w:r>
        <w:rPr>
          <w:rFonts w:ascii="Times New Roman" w:hAnsi="Times New Roman" w:cs="Times New Roman"/>
        </w:rPr>
        <w:t>.</w:t>
      </w:r>
    </w:p>
    <w:p w:rsidR="00AE0F90" w:rsidRPr="00DC4A4B"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t xml:space="preserve">Графика </w:t>
      </w:r>
      <w:r w:rsidR="00227FC6">
        <w:rPr>
          <w:rFonts w:ascii="Times New Roman" w:hAnsi="Times New Roman" w:cs="Times New Roman"/>
          <w:b/>
          <w:sz w:val="18"/>
          <w:szCs w:val="18"/>
        </w:rPr>
        <w:t xml:space="preserve">9. </w:t>
      </w:r>
      <w:r w:rsidRPr="00392280">
        <w:rPr>
          <w:rFonts w:ascii="Times New Roman" w:hAnsi="Times New Roman" w:cs="Times New Roman"/>
          <w:b/>
          <w:sz w:val="18"/>
          <w:szCs w:val="18"/>
          <w:lang w:val="en-GB"/>
        </w:rPr>
        <w:t>Worldwide Governance Indicators</w:t>
      </w:r>
      <w:r w:rsidRPr="001D5C3E">
        <w:rPr>
          <w:rFonts w:ascii="Times New Roman" w:hAnsi="Times New Roman" w:cs="Times New Roman"/>
          <w:b/>
          <w:sz w:val="18"/>
          <w:szCs w:val="18"/>
        </w:rPr>
        <w:t xml:space="preserve"> 2018</w:t>
      </w:r>
      <w:r>
        <w:rPr>
          <w:rFonts w:ascii="Times New Roman" w:hAnsi="Times New Roman" w:cs="Times New Roman"/>
          <w:b/>
          <w:sz w:val="18"/>
          <w:szCs w:val="18"/>
        </w:rPr>
        <w:t>:</w:t>
      </w:r>
      <w:r w:rsidRPr="001D5C3E">
        <w:rPr>
          <w:rFonts w:ascii="Times New Roman" w:hAnsi="Times New Roman" w:cs="Times New Roman"/>
          <w:b/>
          <w:sz w:val="18"/>
          <w:szCs w:val="18"/>
        </w:rPr>
        <w:t xml:space="preserve"> </w:t>
      </w:r>
      <w:r>
        <w:rPr>
          <w:rFonts w:ascii="Times New Roman" w:hAnsi="Times New Roman" w:cs="Times New Roman"/>
          <w:b/>
          <w:sz w:val="18"/>
          <w:szCs w:val="18"/>
        </w:rPr>
        <w:t>България и ЕС</w:t>
      </w:r>
    </w:p>
    <w:p w:rsidR="00AE0F90" w:rsidRPr="00087AF1"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w:drawing>
          <wp:anchor distT="0" distB="0" distL="114300" distR="114300" simplePos="0" relativeHeight="251655680" behindDoc="0" locked="0" layoutInCell="1" allowOverlap="1" wp14:anchorId="70B39411" wp14:editId="34443781">
            <wp:simplePos x="0" y="0"/>
            <wp:positionH relativeFrom="column">
              <wp:posOffset>3038475</wp:posOffset>
            </wp:positionH>
            <wp:positionV relativeFrom="paragraph">
              <wp:posOffset>56515</wp:posOffset>
            </wp:positionV>
            <wp:extent cx="3061970" cy="1840865"/>
            <wp:effectExtent l="0" t="0" r="5080" b="698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61970" cy="184086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rPr>
        <w:t xml:space="preserve">Според </w:t>
      </w:r>
      <w:r w:rsidRPr="00253C7D">
        <w:rPr>
          <w:rFonts w:ascii="Times New Roman" w:hAnsi="Times New Roman" w:cs="Times New Roman"/>
          <w:i/>
          <w:lang w:val="en-US"/>
        </w:rPr>
        <w:t>Worldwide Governance Indicators 2018</w:t>
      </w:r>
      <w:r>
        <w:rPr>
          <w:rFonts w:ascii="Times New Roman" w:hAnsi="Times New Roman" w:cs="Times New Roman"/>
        </w:rPr>
        <w:t xml:space="preserve"> на Световната банка, най-съществено изоставане от качеството на институциите в ЕС се наблюдава в областите на върховенство на закона и </w:t>
      </w:r>
      <w:r w:rsidRPr="001B79DE">
        <w:rPr>
          <w:rFonts w:ascii="Times New Roman" w:eastAsia="Calibri" w:hAnsi="Times New Roman" w:cs="Times New Roman"/>
          <w:b/>
          <w:color w:val="365F91"/>
          <w:lang w:eastAsia="en-US"/>
        </w:rPr>
        <w:t>контрол на корупцията</w:t>
      </w:r>
      <w:r>
        <w:rPr>
          <w:rFonts w:ascii="Times New Roman" w:hAnsi="Times New Roman" w:cs="Times New Roman"/>
        </w:rPr>
        <w:t xml:space="preserve">. И в двете области страната заема трайно последното място в ЕС през последните десет години, като дори отбелязва регрес в стойностите на съответните индикатори. </w:t>
      </w:r>
      <w:r w:rsidRPr="001B79DE">
        <w:rPr>
          <w:rFonts w:ascii="Times New Roman" w:hAnsi="Times New Roman" w:cs="Times New Roman"/>
        </w:rPr>
        <w:t xml:space="preserve">През 2018 г. е предприета амбициозна реформа с новия Закон за противодействие на корупцията и за отнемане на незаконно придобитото имущество и </w:t>
      </w:r>
      <w:r>
        <w:rPr>
          <w:rFonts w:ascii="Times New Roman" w:hAnsi="Times New Roman" w:cs="Times New Roman"/>
        </w:rPr>
        <w:t xml:space="preserve">паралелните действия </w:t>
      </w:r>
      <w:r w:rsidRPr="001B79DE">
        <w:rPr>
          <w:rFonts w:ascii="Times New Roman" w:hAnsi="Times New Roman" w:cs="Times New Roman"/>
        </w:rPr>
        <w:t>за реформиране на системата за наказателно преследване и процедурите за наказателно производство</w:t>
      </w:r>
      <w:r>
        <w:rPr>
          <w:rFonts w:ascii="Times New Roman" w:hAnsi="Times New Roman" w:cs="Times New Roman"/>
        </w:rPr>
        <w:t xml:space="preserve">, но резултатите от тази реформа и успехът й в адресирането на предизвикателствата, свързани с </w:t>
      </w:r>
      <w:r w:rsidRPr="001B79DE">
        <w:rPr>
          <w:rFonts w:ascii="Times New Roman" w:hAnsi="Times New Roman" w:cs="Times New Roman"/>
        </w:rPr>
        <w:t>процесуалните и правните пречки, затрудняващи ефективното разследване и наказателно преследване на корупцията по високите етажи на властта</w:t>
      </w:r>
      <w:r>
        <w:rPr>
          <w:rFonts w:ascii="Times New Roman" w:hAnsi="Times New Roman" w:cs="Times New Roman"/>
        </w:rPr>
        <w:t>,</w:t>
      </w:r>
      <w:r w:rsidRPr="001B79DE">
        <w:rPr>
          <w:rFonts w:ascii="Times New Roman" w:hAnsi="Times New Roman" w:cs="Times New Roman"/>
        </w:rPr>
        <w:t xml:space="preserve"> </w:t>
      </w:r>
      <w:r>
        <w:rPr>
          <w:rFonts w:ascii="Times New Roman" w:hAnsi="Times New Roman" w:cs="Times New Roman"/>
        </w:rPr>
        <w:t>тепърва предстоят. По показателя ефективност</w:t>
      </w:r>
      <w:r>
        <w:rPr>
          <w:rStyle w:val="FootnoteReference"/>
          <w:rFonts w:ascii="Times New Roman" w:hAnsi="Times New Roman"/>
        </w:rPr>
        <w:footnoteReference w:id="76"/>
      </w:r>
      <w:r>
        <w:rPr>
          <w:rFonts w:ascii="Times New Roman" w:hAnsi="Times New Roman" w:cs="Times New Roman"/>
        </w:rPr>
        <w:t xml:space="preserve"> на правителството, България запазва предпоследното си място в ЕС, но отбелязва значително подобрение, като намалява изоставането си. Страната подобрява представянето си по отношение на качество на регулациите и политическа стабилност, достигайки съответно 24-то и 22-ро място в ЕС (спрямо 26-то място и по двата показателя през 2007 г.). Същевременно, негативно развитие се наблюдава по индикатора „</w:t>
      </w:r>
      <w:r w:rsidRPr="008E338C">
        <w:rPr>
          <w:rFonts w:ascii="Times New Roman" w:hAnsi="Times New Roman" w:cs="Times New Roman"/>
          <w:i/>
        </w:rPr>
        <w:t>глас и отчетност</w:t>
      </w:r>
      <w:r>
        <w:rPr>
          <w:rFonts w:ascii="Times New Roman" w:hAnsi="Times New Roman" w:cs="Times New Roman"/>
        </w:rPr>
        <w:t>“</w:t>
      </w:r>
      <w:r>
        <w:rPr>
          <w:rStyle w:val="FootnoteReference"/>
          <w:rFonts w:ascii="Times New Roman" w:hAnsi="Times New Roman"/>
        </w:rPr>
        <w:footnoteReference w:id="77"/>
      </w:r>
      <w:r>
        <w:rPr>
          <w:rFonts w:ascii="Times New Roman" w:hAnsi="Times New Roman" w:cs="Times New Roman"/>
        </w:rPr>
        <w:t>, където страната отстъпва една позиция, заемайки 27-мо място в ЕС, при увеличаване на разликата със средните стойности за общността.</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Значителни усилия се полагат за н</w:t>
      </w:r>
      <w:r w:rsidRPr="0025487D">
        <w:rPr>
          <w:rFonts w:ascii="Times New Roman" w:hAnsi="Times New Roman" w:cs="Times New Roman"/>
        </w:rPr>
        <w:t xml:space="preserve">амаляване на </w:t>
      </w:r>
      <w:r w:rsidRPr="00B167F5">
        <w:rPr>
          <w:rFonts w:ascii="Times New Roman" w:eastAsia="Calibri" w:hAnsi="Times New Roman" w:cs="Times New Roman"/>
          <w:b/>
          <w:color w:val="365F91"/>
          <w:lang w:eastAsia="en-US"/>
        </w:rPr>
        <w:t>административната тежест</w:t>
      </w:r>
      <w:r>
        <w:rPr>
          <w:rFonts w:ascii="Times New Roman" w:hAnsi="Times New Roman" w:cs="Times New Roman"/>
        </w:rPr>
        <w:t xml:space="preserve">. В рамките на няколко инициативи са изготвени няколко плана за </w:t>
      </w:r>
      <w:r w:rsidRPr="00DE163C">
        <w:rPr>
          <w:rFonts w:ascii="Times New Roman" w:hAnsi="Times New Roman" w:cs="Times New Roman"/>
        </w:rPr>
        <w:t>намаляване на административната тежест за бизнеса</w:t>
      </w:r>
      <w:r>
        <w:rPr>
          <w:rFonts w:ascii="Times New Roman" w:hAnsi="Times New Roman" w:cs="Times New Roman"/>
        </w:rPr>
        <w:t xml:space="preserve"> и ограничаване на пречките пред инвестициите. Изпълнението им продължава и към днешна дата, като по данни на администрацията на Министерския съвет, постигнатото намаление на </w:t>
      </w:r>
      <w:r w:rsidRPr="00DE163C">
        <w:rPr>
          <w:rFonts w:ascii="Times New Roman" w:hAnsi="Times New Roman" w:cs="Times New Roman"/>
        </w:rPr>
        <w:t xml:space="preserve"> административната тежест </w:t>
      </w:r>
      <w:r>
        <w:rPr>
          <w:rFonts w:ascii="Times New Roman" w:hAnsi="Times New Roman" w:cs="Times New Roman"/>
        </w:rPr>
        <w:t>се оценява на почти 50%</w:t>
      </w:r>
      <w:r>
        <w:rPr>
          <w:rStyle w:val="FootnoteReference"/>
          <w:rFonts w:ascii="Times New Roman" w:hAnsi="Times New Roman"/>
        </w:rPr>
        <w:footnoteReference w:id="78"/>
      </w:r>
      <w:r>
        <w:rPr>
          <w:rFonts w:ascii="Times New Roman" w:hAnsi="Times New Roman" w:cs="Times New Roman"/>
        </w:rPr>
        <w:t xml:space="preserve">. </w:t>
      </w:r>
      <w:r w:rsidRPr="00105BF5">
        <w:rPr>
          <w:rFonts w:ascii="Times New Roman" w:hAnsi="Times New Roman" w:cs="Times New Roman"/>
        </w:rPr>
        <w:t>Регулаторният</w:t>
      </w:r>
      <w:r>
        <w:rPr>
          <w:rFonts w:ascii="Times New Roman" w:hAnsi="Times New Roman" w:cs="Times New Roman"/>
        </w:rPr>
        <w:t xml:space="preserve"> </w:t>
      </w:r>
      <w:r w:rsidRPr="00105BF5">
        <w:rPr>
          <w:rFonts w:ascii="Times New Roman" w:hAnsi="Times New Roman" w:cs="Times New Roman"/>
        </w:rPr>
        <w:t xml:space="preserve">съвет, създаден </w:t>
      </w:r>
      <w:r>
        <w:rPr>
          <w:rFonts w:ascii="Times New Roman" w:hAnsi="Times New Roman" w:cs="Times New Roman"/>
        </w:rPr>
        <w:t>през 2017 г.</w:t>
      </w:r>
      <w:r w:rsidRPr="00105BF5">
        <w:rPr>
          <w:rFonts w:ascii="Times New Roman" w:hAnsi="Times New Roman" w:cs="Times New Roman"/>
        </w:rPr>
        <w:t xml:space="preserve"> за предотвратяване на</w:t>
      </w:r>
      <w:r>
        <w:rPr>
          <w:rFonts w:ascii="Times New Roman" w:hAnsi="Times New Roman" w:cs="Times New Roman"/>
        </w:rPr>
        <w:t xml:space="preserve"> </w:t>
      </w:r>
      <w:r w:rsidRPr="00105BF5">
        <w:rPr>
          <w:rFonts w:ascii="Times New Roman" w:hAnsi="Times New Roman" w:cs="Times New Roman"/>
        </w:rPr>
        <w:t>въвеждането на нова административна тежест,</w:t>
      </w:r>
      <w:r>
        <w:rPr>
          <w:rFonts w:ascii="Times New Roman" w:hAnsi="Times New Roman" w:cs="Times New Roman"/>
        </w:rPr>
        <w:t xml:space="preserve"> </w:t>
      </w:r>
      <w:r w:rsidRPr="00105BF5">
        <w:rPr>
          <w:rFonts w:ascii="Times New Roman" w:hAnsi="Times New Roman" w:cs="Times New Roman"/>
        </w:rPr>
        <w:t>също е положителна стъпка към ограничаване</w:t>
      </w:r>
      <w:r>
        <w:rPr>
          <w:rFonts w:ascii="Times New Roman" w:hAnsi="Times New Roman" w:cs="Times New Roman"/>
        </w:rPr>
        <w:t xml:space="preserve"> </w:t>
      </w:r>
      <w:r w:rsidRPr="00105BF5">
        <w:rPr>
          <w:rFonts w:ascii="Times New Roman" w:hAnsi="Times New Roman" w:cs="Times New Roman"/>
        </w:rPr>
        <w:t>на бюрокрацията и подобряване на бизнес</w:t>
      </w:r>
      <w:r>
        <w:rPr>
          <w:rFonts w:ascii="Times New Roman" w:hAnsi="Times New Roman" w:cs="Times New Roman"/>
        </w:rPr>
        <w:t xml:space="preserve"> </w:t>
      </w:r>
      <w:r w:rsidRPr="00105BF5">
        <w:rPr>
          <w:rFonts w:ascii="Times New Roman" w:hAnsi="Times New Roman" w:cs="Times New Roman"/>
        </w:rPr>
        <w:t>средата.</w:t>
      </w:r>
      <w:r>
        <w:rPr>
          <w:rFonts w:ascii="Times New Roman" w:hAnsi="Times New Roman" w:cs="Times New Roman"/>
        </w:rPr>
        <w:t xml:space="preserve"> Въпреки положените усилия, р</w:t>
      </w:r>
      <w:r w:rsidRPr="00C06E39">
        <w:rPr>
          <w:rFonts w:ascii="Times New Roman" w:hAnsi="Times New Roman" w:cs="Times New Roman"/>
        </w:rPr>
        <w:t>егулаторната и административната тежест остават значителни и възпрепятстват бизнес дейността</w:t>
      </w:r>
      <w:r>
        <w:rPr>
          <w:rStyle w:val="FootnoteReference"/>
          <w:rFonts w:ascii="Times New Roman" w:hAnsi="Times New Roman"/>
        </w:rPr>
        <w:footnoteReference w:id="79"/>
      </w:r>
      <w:r>
        <w:rPr>
          <w:rFonts w:ascii="Times New Roman" w:hAnsi="Times New Roman" w:cs="Times New Roman"/>
        </w:rPr>
        <w:t>.</w:t>
      </w:r>
      <w:r w:rsidRPr="00C06E39">
        <w:rPr>
          <w:rFonts w:ascii="Times New Roman" w:hAnsi="Times New Roman" w:cs="Times New Roman"/>
        </w:rPr>
        <w:t xml:space="preserve"> </w:t>
      </w:r>
      <w:r>
        <w:rPr>
          <w:rFonts w:ascii="Times New Roman" w:hAnsi="Times New Roman" w:cs="Times New Roman"/>
        </w:rPr>
        <w:t xml:space="preserve">Сериозен напредък е постигнат в сферата на комплексното административно обслужване, но е налице необходимост от допълнителни усилия. Все още не са въведени </w:t>
      </w:r>
      <w:r w:rsidRPr="00247BD7">
        <w:rPr>
          <w:rFonts w:ascii="Times New Roman" w:hAnsi="Times New Roman" w:cs="Times New Roman"/>
        </w:rPr>
        <w:t>споделени услуги между отделните администрации, въпреки наличие на разработена концепция и проведени анализи.</w:t>
      </w:r>
      <w:r>
        <w:rPr>
          <w:rFonts w:ascii="Times New Roman" w:hAnsi="Times New Roman" w:cs="Times New Roman"/>
        </w:rPr>
        <w:t xml:space="preserve"> </w:t>
      </w:r>
      <w:r w:rsidRPr="00442811">
        <w:rPr>
          <w:rFonts w:ascii="Times New Roman" w:hAnsi="Times New Roman" w:cs="Times New Roman"/>
        </w:rPr>
        <w:t xml:space="preserve">Според проучване </w:t>
      </w:r>
      <w:r w:rsidRPr="00442811">
        <w:rPr>
          <w:rFonts w:ascii="Times New Roman" w:hAnsi="Times New Roman" w:cs="Times New Roman"/>
        </w:rPr>
        <w:lastRenderedPageBreak/>
        <w:t>на</w:t>
      </w:r>
      <w:r>
        <w:rPr>
          <w:rFonts w:ascii="Times New Roman" w:hAnsi="Times New Roman" w:cs="Times New Roman"/>
        </w:rPr>
        <w:t xml:space="preserve"> </w:t>
      </w:r>
      <w:proofErr w:type="spellStart"/>
      <w:r w:rsidRPr="00442811">
        <w:rPr>
          <w:rFonts w:ascii="Times New Roman" w:hAnsi="Times New Roman" w:cs="Times New Roman"/>
        </w:rPr>
        <w:t>Евробарометър</w:t>
      </w:r>
      <w:proofErr w:type="spellEnd"/>
      <w:r w:rsidRPr="00442811">
        <w:rPr>
          <w:rFonts w:ascii="Times New Roman" w:hAnsi="Times New Roman" w:cs="Times New Roman"/>
        </w:rPr>
        <w:t xml:space="preserve"> от 2016 г. само 22% от</w:t>
      </w:r>
      <w:r>
        <w:rPr>
          <w:rFonts w:ascii="Times New Roman" w:hAnsi="Times New Roman" w:cs="Times New Roman"/>
        </w:rPr>
        <w:t xml:space="preserve"> </w:t>
      </w:r>
      <w:r w:rsidRPr="00442811">
        <w:rPr>
          <w:rFonts w:ascii="Times New Roman" w:hAnsi="Times New Roman" w:cs="Times New Roman"/>
        </w:rPr>
        <w:t>респондентите считат, че обществените услуги</w:t>
      </w:r>
      <w:r>
        <w:rPr>
          <w:rFonts w:ascii="Times New Roman" w:hAnsi="Times New Roman" w:cs="Times New Roman"/>
        </w:rPr>
        <w:t xml:space="preserve"> </w:t>
      </w:r>
      <w:r w:rsidRPr="00442811">
        <w:rPr>
          <w:rFonts w:ascii="Times New Roman" w:hAnsi="Times New Roman" w:cs="Times New Roman"/>
        </w:rPr>
        <w:t>са с добро качество, а цели 75% са на</w:t>
      </w:r>
      <w:r>
        <w:rPr>
          <w:rFonts w:ascii="Times New Roman" w:hAnsi="Times New Roman" w:cs="Times New Roman"/>
        </w:rPr>
        <w:t xml:space="preserve"> </w:t>
      </w:r>
      <w:r w:rsidRPr="00442811">
        <w:rPr>
          <w:rFonts w:ascii="Times New Roman" w:hAnsi="Times New Roman" w:cs="Times New Roman"/>
        </w:rPr>
        <w:t>обратното мнение.</w:t>
      </w:r>
      <w:r w:rsidRPr="00247BD7">
        <w:t xml:space="preserve"> </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7B3312">
        <w:rPr>
          <w:rFonts w:ascii="Times New Roman" w:hAnsi="Times New Roman" w:cs="Times New Roman"/>
        </w:rPr>
        <w:t xml:space="preserve">Значим проблем и недостатък на бизнес средата в България са </w:t>
      </w:r>
      <w:r w:rsidRPr="00105BF5">
        <w:rPr>
          <w:rFonts w:ascii="Times New Roman" w:eastAsia="Calibri" w:hAnsi="Times New Roman" w:cs="Times New Roman"/>
          <w:b/>
          <w:color w:val="365F91"/>
          <w:lang w:eastAsia="en-US"/>
        </w:rPr>
        <w:t>честите промени в нормативната уредба</w:t>
      </w:r>
      <w:r w:rsidRPr="007B3312">
        <w:rPr>
          <w:rFonts w:ascii="Times New Roman" w:hAnsi="Times New Roman" w:cs="Times New Roman"/>
        </w:rPr>
        <w:t xml:space="preserve"> и създаваната от тях несигурност в инвестиционната среда и невъзможност за дългосрочно стратегическо планиране</w:t>
      </w:r>
      <w:r w:rsidRPr="007B3312">
        <w:rPr>
          <w:rStyle w:val="FootnoteReference"/>
          <w:rFonts w:ascii="Times New Roman" w:hAnsi="Times New Roman"/>
        </w:rPr>
        <w:footnoteReference w:id="80"/>
      </w:r>
      <w:r w:rsidRPr="007B3312">
        <w:rPr>
          <w:rFonts w:ascii="Times New Roman" w:hAnsi="Times New Roman" w:cs="Times New Roman"/>
        </w:rPr>
        <w:t>.</w:t>
      </w:r>
      <w:r>
        <w:rPr>
          <w:rFonts w:ascii="Times New Roman" w:hAnsi="Times New Roman" w:cs="Times New Roman"/>
        </w:rPr>
        <w:t xml:space="preserve"> С промените в Закона за нормативните актове (влезли в сила в края на 2016 г.) се извършва реформа на системата за анализ на въздействието на нормативните актове, като се въвежда задължението за изготвяне на предварителни и последващи оценки на въздействието на законодателството,</w:t>
      </w:r>
      <w:r>
        <w:rPr>
          <w:rFonts w:ascii="Times New Roman" w:hAnsi="Times New Roman" w:cs="Times New Roman"/>
          <w:lang w:val="en-US"/>
        </w:rPr>
        <w:t xml:space="preserve"> </w:t>
      </w:r>
      <w:r>
        <w:rPr>
          <w:rFonts w:ascii="Times New Roman" w:hAnsi="Times New Roman" w:cs="Times New Roman"/>
        </w:rPr>
        <w:t xml:space="preserve">и се подобрява </w:t>
      </w:r>
      <w:r w:rsidRPr="00105BF5">
        <w:rPr>
          <w:rFonts w:ascii="Times New Roman" w:hAnsi="Times New Roman" w:cs="Times New Roman"/>
        </w:rPr>
        <w:t>процедурата по провеждане на обществени консултации на проектите на нормативни актове</w:t>
      </w:r>
      <w:r>
        <w:rPr>
          <w:rFonts w:ascii="Times New Roman" w:hAnsi="Times New Roman" w:cs="Times New Roman"/>
        </w:rPr>
        <w:t xml:space="preserve">. Създадени са предпоставки за повишаване на качеството на </w:t>
      </w:r>
      <w:proofErr w:type="spellStart"/>
      <w:r>
        <w:rPr>
          <w:rFonts w:ascii="Times New Roman" w:hAnsi="Times New Roman" w:cs="Times New Roman"/>
        </w:rPr>
        <w:t>нормотворческия</w:t>
      </w:r>
      <w:proofErr w:type="spellEnd"/>
      <w:r>
        <w:rPr>
          <w:rFonts w:ascii="Times New Roman" w:hAnsi="Times New Roman" w:cs="Times New Roman"/>
        </w:rPr>
        <w:t xml:space="preserve"> процес при намаляване на</w:t>
      </w:r>
      <w:r w:rsidRPr="0025487D">
        <w:t xml:space="preserve"> </w:t>
      </w:r>
      <w:r w:rsidRPr="0025487D">
        <w:rPr>
          <w:rFonts w:ascii="Times New Roman" w:hAnsi="Times New Roman" w:cs="Times New Roman"/>
        </w:rPr>
        <w:t>обема на законодателството</w:t>
      </w:r>
      <w:r>
        <w:rPr>
          <w:rFonts w:ascii="Times New Roman" w:hAnsi="Times New Roman" w:cs="Times New Roman"/>
        </w:rPr>
        <w:t xml:space="preserve"> и повишаване на вътрешната му съгласуваност. Разработени и влезли в сила са и съответните подзаконови актове по прилагането на новите изисквания; изготвено е р</w:t>
      </w:r>
      <w:r w:rsidRPr="00105BF5">
        <w:rPr>
          <w:rFonts w:ascii="Times New Roman" w:hAnsi="Times New Roman" w:cs="Times New Roman"/>
        </w:rPr>
        <w:t>ъководство за изготвяне на оценка на въздействието на законодателството</w:t>
      </w:r>
      <w:r>
        <w:rPr>
          <w:rFonts w:ascii="Times New Roman" w:hAnsi="Times New Roman" w:cs="Times New Roman"/>
        </w:rPr>
        <w:t xml:space="preserve">; създаден е необходимия административен капацитет. Изготвени са над 400 предварителни и 30 всеобхватни оценки на въздействието. </w:t>
      </w:r>
      <w:r w:rsidRPr="00105BF5">
        <w:rPr>
          <w:rFonts w:ascii="Times New Roman" w:hAnsi="Times New Roman" w:cs="Times New Roman"/>
        </w:rPr>
        <w:t>Качеството обаче често е повлияно от липсата</w:t>
      </w:r>
      <w:r>
        <w:rPr>
          <w:rFonts w:ascii="Times New Roman" w:hAnsi="Times New Roman" w:cs="Times New Roman"/>
        </w:rPr>
        <w:t xml:space="preserve"> </w:t>
      </w:r>
      <w:r w:rsidRPr="00105BF5">
        <w:rPr>
          <w:rFonts w:ascii="Times New Roman" w:hAnsi="Times New Roman" w:cs="Times New Roman"/>
        </w:rPr>
        <w:t>на данни и големия брой правни актове, които</w:t>
      </w:r>
      <w:r>
        <w:rPr>
          <w:rFonts w:ascii="Times New Roman" w:hAnsi="Times New Roman" w:cs="Times New Roman"/>
        </w:rPr>
        <w:t xml:space="preserve"> </w:t>
      </w:r>
      <w:r w:rsidRPr="00105BF5">
        <w:rPr>
          <w:rFonts w:ascii="Times New Roman" w:hAnsi="Times New Roman" w:cs="Times New Roman"/>
        </w:rPr>
        <w:t>предстои да бъдат оценени</w:t>
      </w:r>
      <w:r>
        <w:rPr>
          <w:rStyle w:val="FootnoteReference"/>
          <w:rFonts w:ascii="Times New Roman" w:hAnsi="Times New Roman"/>
        </w:rPr>
        <w:footnoteReference w:id="81"/>
      </w:r>
      <w:r w:rsidRPr="00105BF5">
        <w:rPr>
          <w:rFonts w:ascii="Times New Roman" w:hAnsi="Times New Roman" w:cs="Times New Roman"/>
        </w:rPr>
        <w:t xml:space="preserve">. </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3809EC">
        <w:rPr>
          <w:rFonts w:ascii="Times New Roman" w:hAnsi="Times New Roman" w:cs="Times New Roman"/>
        </w:rPr>
        <w:t xml:space="preserve">Страната изостава по отношение на </w:t>
      </w:r>
      <w:r w:rsidRPr="00A7315B">
        <w:rPr>
          <w:rFonts w:ascii="Times New Roman" w:eastAsia="Calibri" w:hAnsi="Times New Roman" w:cs="Times New Roman"/>
          <w:b/>
          <w:color w:val="365F91"/>
          <w:lang w:eastAsia="en-US"/>
        </w:rPr>
        <w:t>електронното управление</w:t>
      </w:r>
      <w:r>
        <w:rPr>
          <w:rFonts w:ascii="Times New Roman" w:hAnsi="Times New Roman" w:cs="Times New Roman"/>
        </w:rPr>
        <w:t>, въпреки че през последните няколко години се наблюдава известно подобрение</w:t>
      </w:r>
      <w:r w:rsidRPr="003809EC">
        <w:rPr>
          <w:rFonts w:ascii="Times New Roman" w:hAnsi="Times New Roman" w:cs="Times New Roman"/>
        </w:rPr>
        <w:t>. Индекс</w:t>
      </w:r>
      <w:r>
        <w:rPr>
          <w:rFonts w:ascii="Times New Roman" w:hAnsi="Times New Roman" w:cs="Times New Roman"/>
        </w:rPr>
        <w:t xml:space="preserve">ът </w:t>
      </w:r>
      <w:r w:rsidRPr="003809EC">
        <w:rPr>
          <w:rFonts w:ascii="Times New Roman" w:hAnsi="Times New Roman" w:cs="Times New Roman"/>
        </w:rPr>
        <w:t xml:space="preserve">за развитие на електронното управление </w:t>
      </w:r>
      <w:r>
        <w:rPr>
          <w:rFonts w:ascii="Times New Roman" w:hAnsi="Times New Roman" w:cs="Times New Roman"/>
        </w:rPr>
        <w:t>(</w:t>
      </w:r>
      <w:r w:rsidRPr="003809EC">
        <w:rPr>
          <w:rFonts w:ascii="Times New Roman" w:hAnsi="Times New Roman" w:cs="Times New Roman"/>
          <w:i/>
        </w:rPr>
        <w:t>E-</w:t>
      </w:r>
      <w:proofErr w:type="spellStart"/>
      <w:r w:rsidRPr="003809EC">
        <w:rPr>
          <w:rFonts w:ascii="Times New Roman" w:hAnsi="Times New Roman" w:cs="Times New Roman"/>
          <w:i/>
        </w:rPr>
        <w:t>Government</w:t>
      </w:r>
      <w:proofErr w:type="spellEnd"/>
      <w:r w:rsidRPr="003809EC">
        <w:rPr>
          <w:rFonts w:ascii="Times New Roman" w:hAnsi="Times New Roman" w:cs="Times New Roman"/>
          <w:i/>
        </w:rPr>
        <w:t xml:space="preserve"> </w:t>
      </w:r>
      <w:proofErr w:type="spellStart"/>
      <w:r w:rsidRPr="003809EC">
        <w:rPr>
          <w:rFonts w:ascii="Times New Roman" w:hAnsi="Times New Roman" w:cs="Times New Roman"/>
          <w:i/>
        </w:rPr>
        <w:t>Development</w:t>
      </w:r>
      <w:proofErr w:type="spellEnd"/>
      <w:r w:rsidRPr="003809EC">
        <w:rPr>
          <w:rFonts w:ascii="Times New Roman" w:hAnsi="Times New Roman" w:cs="Times New Roman"/>
          <w:i/>
        </w:rPr>
        <w:t xml:space="preserve"> </w:t>
      </w:r>
      <w:proofErr w:type="spellStart"/>
      <w:r w:rsidRPr="003809EC">
        <w:rPr>
          <w:rFonts w:ascii="Times New Roman" w:hAnsi="Times New Roman" w:cs="Times New Roman"/>
          <w:i/>
        </w:rPr>
        <w:t>Index</w:t>
      </w:r>
      <w:proofErr w:type="spellEnd"/>
      <w:r>
        <w:rPr>
          <w:rFonts w:ascii="Times New Roman" w:hAnsi="Times New Roman" w:cs="Times New Roman"/>
        </w:rPr>
        <w:t>)</w:t>
      </w:r>
      <w:r w:rsidRPr="003809EC">
        <w:rPr>
          <w:rFonts w:ascii="Times New Roman" w:hAnsi="Times New Roman" w:cs="Times New Roman"/>
        </w:rPr>
        <w:t xml:space="preserve"> </w:t>
      </w:r>
      <w:r>
        <w:rPr>
          <w:rFonts w:ascii="Times New Roman" w:hAnsi="Times New Roman" w:cs="Times New Roman"/>
        </w:rPr>
        <w:t xml:space="preserve">на ООН поставя България на 43-то място в света през </w:t>
      </w:r>
      <w:r w:rsidRPr="00A7315B">
        <w:rPr>
          <w:rFonts w:ascii="Times New Roman" w:hAnsi="Times New Roman" w:cs="Times New Roman"/>
        </w:rPr>
        <w:t xml:space="preserve">2008 г. </w:t>
      </w:r>
      <w:r>
        <w:rPr>
          <w:rFonts w:ascii="Times New Roman" w:hAnsi="Times New Roman" w:cs="Times New Roman"/>
        </w:rPr>
        <w:t>С</w:t>
      </w:r>
      <w:r w:rsidRPr="00A7315B">
        <w:rPr>
          <w:rFonts w:ascii="Times New Roman" w:hAnsi="Times New Roman" w:cs="Times New Roman"/>
        </w:rPr>
        <w:t xml:space="preserve">лед </w:t>
      </w:r>
      <w:r>
        <w:rPr>
          <w:rFonts w:ascii="Times New Roman" w:hAnsi="Times New Roman" w:cs="Times New Roman"/>
        </w:rPr>
        <w:t>формирана трайна тенденция на влошаване на представянето й в това отношение България изпада до 73-то място през 2014 г., след което обаче с бързи темпове възстановява позиции и достига до 47-мо място през 2018 г. Напредъкът в последните години се свързва с въведената стратегическа рамка, консолидирането на функциите и процесите, свързвани с електронното управление, в Д</w:t>
      </w:r>
      <w:r w:rsidRPr="0051402A">
        <w:rPr>
          <w:rFonts w:ascii="Times New Roman" w:hAnsi="Times New Roman" w:cs="Times New Roman"/>
        </w:rPr>
        <w:t>ържавна агенция „</w:t>
      </w:r>
      <w:r w:rsidRPr="009F5DA9">
        <w:rPr>
          <w:rFonts w:ascii="Times New Roman" w:hAnsi="Times New Roman" w:cs="Times New Roman"/>
          <w:i/>
        </w:rPr>
        <w:t>Електронно управление</w:t>
      </w:r>
      <w:r w:rsidRPr="0051402A">
        <w:rPr>
          <w:rFonts w:ascii="Times New Roman" w:hAnsi="Times New Roman" w:cs="Times New Roman"/>
        </w:rPr>
        <w:t>“</w:t>
      </w:r>
      <w:r>
        <w:rPr>
          <w:rFonts w:ascii="Times New Roman" w:hAnsi="Times New Roman" w:cs="Times New Roman"/>
        </w:rPr>
        <w:t xml:space="preserve"> и предприетите мерки за подобряване на електронните обществени услуги. Въпреки това е налице необходимост от допълнителни усилия за доизграждане на необходимата инфраструктура, </w:t>
      </w:r>
      <w:r w:rsidRPr="0051402A">
        <w:rPr>
          <w:rFonts w:ascii="Times New Roman" w:hAnsi="Times New Roman" w:cs="Times New Roman"/>
        </w:rPr>
        <w:t>свързване на ключови регистри и осигуряване на оперативна съвместимост за преминаване към автоматизиран/</w:t>
      </w:r>
      <w:proofErr w:type="spellStart"/>
      <w:r w:rsidRPr="0051402A">
        <w:rPr>
          <w:rFonts w:ascii="Times New Roman" w:hAnsi="Times New Roman" w:cs="Times New Roman"/>
        </w:rPr>
        <w:t>полуавтоматизиран</w:t>
      </w:r>
      <w:proofErr w:type="spellEnd"/>
      <w:r w:rsidRPr="0051402A">
        <w:rPr>
          <w:rFonts w:ascii="Times New Roman" w:hAnsi="Times New Roman" w:cs="Times New Roman"/>
        </w:rPr>
        <w:t xml:space="preserve"> обмен на данни и електронни документи</w:t>
      </w:r>
      <w:r>
        <w:rPr>
          <w:rFonts w:ascii="Times New Roman" w:hAnsi="Times New Roman" w:cs="Times New Roman"/>
        </w:rPr>
        <w:t xml:space="preserve"> и </w:t>
      </w:r>
      <w:r w:rsidRPr="0051402A">
        <w:rPr>
          <w:rFonts w:ascii="Times New Roman" w:hAnsi="Times New Roman" w:cs="Times New Roman"/>
        </w:rPr>
        <w:t>въвеждане на национална схема за електронна идентификация</w:t>
      </w:r>
      <w:r>
        <w:rPr>
          <w:rFonts w:ascii="Times New Roman" w:hAnsi="Times New Roman" w:cs="Times New Roman"/>
        </w:rPr>
        <w:t>. Намерения в тези сфери вече се реализират чрез проекти по оперативна програма „</w:t>
      </w:r>
      <w:r w:rsidRPr="0031243C">
        <w:rPr>
          <w:rFonts w:ascii="Times New Roman" w:hAnsi="Times New Roman" w:cs="Times New Roman"/>
          <w:i/>
        </w:rPr>
        <w:t>Добро управление</w:t>
      </w:r>
      <w:r>
        <w:rPr>
          <w:rFonts w:ascii="Times New Roman" w:hAnsi="Times New Roman" w:cs="Times New Roman"/>
        </w:rPr>
        <w:t>“; успешната им реализация ще е ключова за бъдещото развитие на електронното управление в страната.</w:t>
      </w:r>
    </w:p>
    <w:p w:rsidR="00AE0F90" w:rsidRPr="00A060D1" w:rsidRDefault="00AE0F90" w:rsidP="00AE0F90">
      <w:pPr>
        <w:pStyle w:val="ListParagraph"/>
        <w:spacing w:line="269" w:lineRule="auto"/>
        <w:ind w:left="0" w:firstLine="0"/>
        <w:contextualSpacing w:val="0"/>
        <w:jc w:val="both"/>
        <w:rPr>
          <w:rFonts w:ascii="Times New Roman" w:hAnsi="Times New Roman" w:cs="Times New Roman"/>
          <w:highlight w:val="yellow"/>
        </w:rPr>
      </w:pPr>
      <w:r>
        <w:rPr>
          <w:rFonts w:ascii="Times New Roman" w:hAnsi="Times New Roman" w:cs="Times New Roman"/>
        </w:rPr>
        <w:t xml:space="preserve">България подобрява представянето си по отношение на използваните </w:t>
      </w:r>
      <w:r w:rsidRPr="00D36E72">
        <w:rPr>
          <w:rFonts w:ascii="Times New Roman" w:eastAsia="Calibri" w:hAnsi="Times New Roman" w:cs="Times New Roman"/>
          <w:b/>
          <w:color w:val="365F91"/>
          <w:lang w:eastAsia="en-US"/>
        </w:rPr>
        <w:t>електронни обществени услуги</w:t>
      </w:r>
      <w:r>
        <w:rPr>
          <w:rFonts w:ascii="Times New Roman" w:hAnsi="Times New Roman" w:cs="Times New Roman"/>
        </w:rPr>
        <w:t xml:space="preserve"> и достига средноевропейското ниво. През 2017 г. 58%</w:t>
      </w:r>
      <w:r>
        <w:rPr>
          <w:rStyle w:val="FootnoteReference"/>
          <w:rFonts w:ascii="Times New Roman" w:hAnsi="Times New Roman"/>
        </w:rPr>
        <w:footnoteReference w:id="82"/>
      </w:r>
      <w:r>
        <w:rPr>
          <w:rFonts w:ascii="Times New Roman" w:hAnsi="Times New Roman" w:cs="Times New Roman"/>
        </w:rPr>
        <w:t xml:space="preserve"> от населението, </w:t>
      </w:r>
      <w:r w:rsidRPr="00696CD9">
        <w:rPr>
          <w:rFonts w:ascii="Times New Roman" w:hAnsi="Times New Roman" w:cs="Times New Roman"/>
        </w:rPr>
        <w:t>на ко</w:t>
      </w:r>
      <w:r>
        <w:rPr>
          <w:rFonts w:ascii="Times New Roman" w:hAnsi="Times New Roman" w:cs="Times New Roman"/>
        </w:rPr>
        <w:t>е</w:t>
      </w:r>
      <w:r w:rsidRPr="00696CD9">
        <w:rPr>
          <w:rFonts w:ascii="Times New Roman" w:hAnsi="Times New Roman" w:cs="Times New Roman"/>
        </w:rPr>
        <w:t>то се налага да пода</w:t>
      </w:r>
      <w:r>
        <w:rPr>
          <w:rFonts w:ascii="Times New Roman" w:hAnsi="Times New Roman" w:cs="Times New Roman"/>
        </w:rPr>
        <w:t>де</w:t>
      </w:r>
      <w:r w:rsidRPr="00696CD9">
        <w:rPr>
          <w:rFonts w:ascii="Times New Roman" w:hAnsi="Times New Roman" w:cs="Times New Roman"/>
        </w:rPr>
        <w:t xml:space="preserve"> формуляри до държавната администрация</w:t>
      </w:r>
      <w:r>
        <w:rPr>
          <w:rFonts w:ascii="Times New Roman" w:hAnsi="Times New Roman" w:cs="Times New Roman"/>
        </w:rPr>
        <w:t>, се възползва от предлаганата електронна услуга.</w:t>
      </w:r>
      <w:r w:rsidRPr="00696CD9">
        <w:rPr>
          <w:rFonts w:ascii="Times New Roman" w:hAnsi="Times New Roman" w:cs="Times New Roman"/>
        </w:rPr>
        <w:t xml:space="preserve"> </w:t>
      </w:r>
      <w:r>
        <w:rPr>
          <w:rFonts w:ascii="Times New Roman" w:hAnsi="Times New Roman" w:cs="Times New Roman"/>
        </w:rPr>
        <w:t xml:space="preserve">Достигнатата стойност на показателя е равна на средната за ЕС, а в сравнителен план България заема 15-то място в ЕС. Пълнотата на онлайн услугите (72%) обаче изостава съществено от средната за ЕС (84%), а полаганите в това отношение усилия водят до по-бавни резултати спрямо другите държави членки. Така въпреки че през 2017 г. стойността на показателя отбелязва напредък от 1 процентен пункт спрямо година по-рано, страната губи 3 позиции в класацията до 26-то място в ЕС, изпреварена от държави, предприели по-радикални (или по-ефективни) действия. </w:t>
      </w:r>
      <w:r w:rsidRPr="00204221">
        <w:rPr>
          <w:rFonts w:ascii="Times New Roman" w:hAnsi="Times New Roman" w:cs="Times New Roman"/>
        </w:rPr>
        <w:t>По отношение на електронните  обществени услуги за предприятията</w:t>
      </w:r>
      <w:r>
        <w:rPr>
          <w:rFonts w:ascii="Times New Roman" w:hAnsi="Times New Roman" w:cs="Times New Roman"/>
        </w:rPr>
        <w:t>,</w:t>
      </w:r>
      <w:r w:rsidRPr="00204221">
        <w:rPr>
          <w:rFonts w:ascii="Times New Roman" w:hAnsi="Times New Roman" w:cs="Times New Roman"/>
        </w:rPr>
        <w:t xml:space="preserve"> България се представя по-добре от мнозинството от държавите – членки на ЕС и заема 11-то място със значително подобрение спрямо предходната година (20-то място). </w:t>
      </w:r>
      <w:r>
        <w:rPr>
          <w:rFonts w:ascii="Times New Roman" w:hAnsi="Times New Roman" w:cs="Times New Roman"/>
        </w:rPr>
        <w:t xml:space="preserve">Донякъде напредъкът може да бъде обяснен с последните промени в данъчното законодателство, задължаващи  </w:t>
      </w:r>
      <w:r w:rsidRPr="00204221">
        <w:rPr>
          <w:rFonts w:ascii="Times New Roman" w:hAnsi="Times New Roman" w:cs="Times New Roman"/>
        </w:rPr>
        <w:t>юридически</w:t>
      </w:r>
      <w:r>
        <w:rPr>
          <w:rFonts w:ascii="Times New Roman" w:hAnsi="Times New Roman" w:cs="Times New Roman"/>
        </w:rPr>
        <w:t>те</w:t>
      </w:r>
      <w:r w:rsidRPr="00204221">
        <w:rPr>
          <w:rFonts w:ascii="Times New Roman" w:hAnsi="Times New Roman" w:cs="Times New Roman"/>
        </w:rPr>
        <w:t xml:space="preserve"> лица </w:t>
      </w:r>
      <w:r>
        <w:rPr>
          <w:rFonts w:ascii="Times New Roman" w:hAnsi="Times New Roman" w:cs="Times New Roman"/>
        </w:rPr>
        <w:t>д</w:t>
      </w:r>
      <w:r w:rsidRPr="00204221">
        <w:rPr>
          <w:rFonts w:ascii="Times New Roman" w:hAnsi="Times New Roman" w:cs="Times New Roman"/>
        </w:rPr>
        <w:t xml:space="preserve">а подават данъчните </w:t>
      </w:r>
      <w:r>
        <w:rPr>
          <w:rFonts w:ascii="Times New Roman" w:hAnsi="Times New Roman" w:cs="Times New Roman"/>
        </w:rPr>
        <w:t xml:space="preserve">си </w:t>
      </w:r>
      <w:r w:rsidRPr="00204221">
        <w:rPr>
          <w:rFonts w:ascii="Times New Roman" w:hAnsi="Times New Roman" w:cs="Times New Roman"/>
        </w:rPr>
        <w:t>декларации само в електронен вид. За физическите лица това е по избор, но се стимулира чрез данъчно облекчение.</w:t>
      </w:r>
    </w:p>
    <w:p w:rsidR="00AE0F90" w:rsidRDefault="00AE0F90" w:rsidP="00AE0F90">
      <w:pPr>
        <w:pStyle w:val="ListParagraph"/>
        <w:spacing w:line="269" w:lineRule="auto"/>
        <w:ind w:left="0" w:firstLine="0"/>
        <w:contextualSpacing w:val="0"/>
        <w:jc w:val="both"/>
        <w:rPr>
          <w:rFonts w:ascii="Times New Roman" w:hAnsi="Times New Roman" w:cs="Times New Roman"/>
          <w:lang w:val="en-US"/>
        </w:rPr>
      </w:pPr>
      <w:r w:rsidRPr="00F579F2">
        <w:rPr>
          <w:rFonts w:ascii="Times New Roman" w:hAnsi="Times New Roman" w:cs="Times New Roman"/>
        </w:rPr>
        <w:lastRenderedPageBreak/>
        <w:t xml:space="preserve">Страната се представя добре и в областта на </w:t>
      </w:r>
      <w:r w:rsidRPr="00D36E72">
        <w:rPr>
          <w:rFonts w:ascii="Times New Roman" w:eastAsia="Calibri" w:hAnsi="Times New Roman" w:cs="Times New Roman"/>
          <w:b/>
          <w:color w:val="365F91"/>
          <w:lang w:eastAsia="en-US"/>
        </w:rPr>
        <w:t>свободно достъпните данни</w:t>
      </w:r>
      <w:r>
        <w:rPr>
          <w:rFonts w:ascii="Times New Roman" w:hAnsi="Times New Roman" w:cs="Times New Roman"/>
          <w:lang w:val="en-US"/>
        </w:rPr>
        <w:t xml:space="preserve"> </w:t>
      </w:r>
      <w:r w:rsidRPr="00797861">
        <w:rPr>
          <w:rFonts w:ascii="Times New Roman" w:hAnsi="Times New Roman" w:cs="Times New Roman"/>
        </w:rPr>
        <w:t>(„</w:t>
      </w:r>
      <w:proofErr w:type="spellStart"/>
      <w:r w:rsidRPr="00797861">
        <w:rPr>
          <w:rFonts w:ascii="Times New Roman" w:hAnsi="Times New Roman" w:cs="Times New Roman"/>
          <w:i/>
        </w:rPr>
        <w:t>open</w:t>
      </w:r>
      <w:proofErr w:type="spellEnd"/>
      <w:r w:rsidRPr="00797861">
        <w:rPr>
          <w:rFonts w:ascii="Times New Roman" w:hAnsi="Times New Roman" w:cs="Times New Roman"/>
          <w:i/>
        </w:rPr>
        <w:t xml:space="preserve"> </w:t>
      </w:r>
      <w:proofErr w:type="spellStart"/>
      <w:r w:rsidRPr="00797861">
        <w:rPr>
          <w:rFonts w:ascii="Times New Roman" w:hAnsi="Times New Roman" w:cs="Times New Roman"/>
          <w:i/>
        </w:rPr>
        <w:t>data</w:t>
      </w:r>
      <w:proofErr w:type="spellEnd"/>
      <w:r w:rsidRPr="00797861">
        <w:rPr>
          <w:rFonts w:ascii="Times New Roman" w:hAnsi="Times New Roman" w:cs="Times New Roman"/>
        </w:rPr>
        <w:t>”)</w:t>
      </w:r>
      <w:r w:rsidRPr="00F579F2">
        <w:rPr>
          <w:rFonts w:ascii="Times New Roman" w:hAnsi="Times New Roman" w:cs="Times New Roman"/>
        </w:rPr>
        <w:t xml:space="preserve">, като след приемането на нормативната рамка понастоящем са публикувани и достъпни над 7 000 масива от данни от различни национални и регионални администрации и агенции. </w:t>
      </w:r>
      <w:r w:rsidRPr="00797861">
        <w:rPr>
          <w:rFonts w:ascii="Times New Roman" w:hAnsi="Times New Roman" w:cs="Times New Roman"/>
        </w:rPr>
        <w:t>Свободно</w:t>
      </w:r>
      <w:r>
        <w:rPr>
          <w:rFonts w:ascii="Times New Roman" w:hAnsi="Times New Roman" w:cs="Times New Roman"/>
          <w:lang w:val="en-US"/>
        </w:rPr>
        <w:t xml:space="preserve"> </w:t>
      </w:r>
      <w:r w:rsidRPr="00797861">
        <w:rPr>
          <w:rFonts w:ascii="Times New Roman" w:hAnsi="Times New Roman" w:cs="Times New Roman"/>
        </w:rPr>
        <w:t xml:space="preserve">достъпните данни </w:t>
      </w:r>
      <w:r>
        <w:rPr>
          <w:rFonts w:ascii="Times New Roman" w:hAnsi="Times New Roman" w:cs="Times New Roman"/>
        </w:rPr>
        <w:t xml:space="preserve">се свързват с </w:t>
      </w:r>
      <w:r w:rsidRPr="00797861">
        <w:rPr>
          <w:rFonts w:ascii="Times New Roman" w:hAnsi="Times New Roman" w:cs="Times New Roman"/>
        </w:rPr>
        <w:t>прозрачността в работата на администрацията</w:t>
      </w:r>
      <w:r>
        <w:rPr>
          <w:rFonts w:ascii="Times New Roman" w:hAnsi="Times New Roman" w:cs="Times New Roman"/>
        </w:rPr>
        <w:t xml:space="preserve">, предоставяйки възможност за </w:t>
      </w:r>
      <w:r w:rsidRPr="00797861">
        <w:rPr>
          <w:rFonts w:ascii="Times New Roman" w:hAnsi="Times New Roman" w:cs="Times New Roman"/>
        </w:rPr>
        <w:t>ефективен граждански мониторинг и контрол върху дейността на администрацията</w:t>
      </w:r>
      <w:r>
        <w:rPr>
          <w:rFonts w:ascii="Times New Roman" w:hAnsi="Times New Roman" w:cs="Times New Roman"/>
        </w:rPr>
        <w:t xml:space="preserve">. </w:t>
      </w:r>
      <w:r w:rsidRPr="00F579F2">
        <w:rPr>
          <w:rFonts w:ascii="Times New Roman" w:hAnsi="Times New Roman" w:cs="Times New Roman"/>
        </w:rPr>
        <w:t xml:space="preserve">Съответният показател в </w:t>
      </w:r>
      <w:r w:rsidRPr="00F579F2">
        <w:rPr>
          <w:rFonts w:ascii="Times New Roman" w:hAnsi="Times New Roman" w:cs="Times New Roman"/>
          <w:i/>
          <w:lang w:val="en-US"/>
        </w:rPr>
        <w:t>DESI</w:t>
      </w:r>
      <w:r w:rsidRPr="00F579F2">
        <w:rPr>
          <w:rFonts w:ascii="Times New Roman" w:hAnsi="Times New Roman" w:cs="Times New Roman"/>
          <w:i/>
        </w:rPr>
        <w:t xml:space="preserve"> 2018</w:t>
      </w:r>
      <w:r w:rsidRPr="00F579F2">
        <w:rPr>
          <w:rFonts w:ascii="Times New Roman" w:hAnsi="Times New Roman" w:cs="Times New Roman"/>
        </w:rPr>
        <w:t xml:space="preserve"> обаче показва, че през последната една година в страната не е имало развитие в това отношение (достигнатата стойност от 76% е останала непроменена), а в резултат на усилията на другите държави, България е загубила 7 позиции и вече е на 14-то място в ЕС.</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Трудностите във връзка с </w:t>
      </w:r>
      <w:r w:rsidRPr="00750728">
        <w:rPr>
          <w:rFonts w:ascii="Times New Roman" w:eastAsia="Calibri" w:hAnsi="Times New Roman" w:cs="Times New Roman"/>
          <w:b/>
          <w:color w:val="365F91"/>
          <w:lang w:eastAsia="en-US"/>
        </w:rPr>
        <w:t>обществени</w:t>
      </w:r>
      <w:r>
        <w:rPr>
          <w:rFonts w:ascii="Times New Roman" w:eastAsia="Calibri" w:hAnsi="Times New Roman" w:cs="Times New Roman"/>
          <w:b/>
          <w:color w:val="365F91"/>
          <w:lang w:eastAsia="en-US"/>
        </w:rPr>
        <w:t>те</w:t>
      </w:r>
      <w:r w:rsidRPr="00750728">
        <w:rPr>
          <w:rFonts w:ascii="Times New Roman" w:eastAsia="Calibri" w:hAnsi="Times New Roman" w:cs="Times New Roman"/>
          <w:b/>
          <w:color w:val="365F91"/>
          <w:lang w:eastAsia="en-US"/>
        </w:rPr>
        <w:t xml:space="preserve"> поръчки</w:t>
      </w:r>
      <w:r>
        <w:rPr>
          <w:rFonts w:ascii="Times New Roman" w:hAnsi="Times New Roman" w:cs="Times New Roman"/>
        </w:rPr>
        <w:t xml:space="preserve">, срещани при изпълнението на оперативните програми, са идентифицирани като основна пречка за ефективното използване на средствата от </w:t>
      </w:r>
      <w:r w:rsidRPr="00750728">
        <w:rPr>
          <w:rFonts w:ascii="Times New Roman" w:hAnsi="Times New Roman" w:cs="Times New Roman"/>
        </w:rPr>
        <w:t xml:space="preserve">европейските структурни и инвестиционни фондове в </w:t>
      </w:r>
      <w:r>
        <w:rPr>
          <w:rFonts w:ascii="Times New Roman" w:hAnsi="Times New Roman" w:cs="Times New Roman"/>
        </w:rPr>
        <w:t xml:space="preserve">страната. </w:t>
      </w:r>
      <w:r w:rsidRPr="00750728">
        <w:rPr>
          <w:rFonts w:ascii="Times New Roman" w:hAnsi="Times New Roman" w:cs="Times New Roman"/>
        </w:rPr>
        <w:t xml:space="preserve">Системните обжалвания пред съда значително забавят </w:t>
      </w:r>
      <w:r>
        <w:rPr>
          <w:rFonts w:ascii="Times New Roman" w:hAnsi="Times New Roman" w:cs="Times New Roman"/>
        </w:rPr>
        <w:t>изпълнението на проектите</w:t>
      </w:r>
      <w:r w:rsidRPr="00750728">
        <w:rPr>
          <w:rFonts w:ascii="Times New Roman" w:hAnsi="Times New Roman" w:cs="Times New Roman"/>
        </w:rPr>
        <w:t>, нередностите водят до прекъсване на плащанията и до финансови корекции, системите за управление и контрол често не успяват да откриват и предотвратяват грешки в процеса на възлагане. През последните години са направени значителни подобрения в областта</w:t>
      </w:r>
      <w:r>
        <w:rPr>
          <w:rFonts w:ascii="Times New Roman" w:hAnsi="Times New Roman" w:cs="Times New Roman"/>
        </w:rPr>
        <w:t xml:space="preserve">, посредством амбициозна реформа, обвързана и с изпълнението на част от предварителните условия за </w:t>
      </w:r>
      <w:r w:rsidRPr="003C566B">
        <w:rPr>
          <w:rFonts w:ascii="Times New Roman" w:hAnsi="Times New Roman" w:cs="Times New Roman"/>
        </w:rPr>
        <w:t>европейските структурни и инвестиционни фондове</w:t>
      </w:r>
      <w:r w:rsidRPr="00750728">
        <w:rPr>
          <w:rFonts w:ascii="Times New Roman" w:hAnsi="Times New Roman" w:cs="Times New Roman"/>
        </w:rPr>
        <w:t>.</w:t>
      </w:r>
      <w:r>
        <w:rPr>
          <w:rFonts w:ascii="Times New Roman" w:hAnsi="Times New Roman" w:cs="Times New Roman"/>
        </w:rPr>
        <w:t xml:space="preserve"> През 2016 г. е приет нов Закон за обществените поръчки, с който – по оценка на ЕК</w:t>
      </w:r>
      <w:r>
        <w:rPr>
          <w:rStyle w:val="FootnoteReference"/>
          <w:rFonts w:ascii="Times New Roman" w:hAnsi="Times New Roman"/>
        </w:rPr>
        <w:footnoteReference w:id="83"/>
      </w:r>
      <w:r>
        <w:rPr>
          <w:rFonts w:ascii="Times New Roman" w:hAnsi="Times New Roman" w:cs="Times New Roman"/>
        </w:rPr>
        <w:t xml:space="preserve"> –</w:t>
      </w:r>
      <w:r w:rsidRPr="0074377B">
        <w:t xml:space="preserve"> </w:t>
      </w:r>
      <w:r w:rsidRPr="0074377B">
        <w:rPr>
          <w:rFonts w:ascii="Times New Roman" w:hAnsi="Times New Roman" w:cs="Times New Roman"/>
        </w:rPr>
        <w:t>България</w:t>
      </w:r>
      <w:r>
        <w:rPr>
          <w:rFonts w:ascii="Times New Roman" w:hAnsi="Times New Roman" w:cs="Times New Roman"/>
        </w:rPr>
        <w:t xml:space="preserve"> </w:t>
      </w:r>
      <w:r w:rsidRPr="0074377B">
        <w:rPr>
          <w:rFonts w:ascii="Times New Roman" w:hAnsi="Times New Roman" w:cs="Times New Roman"/>
        </w:rPr>
        <w:t>постига сравнително добри резултати по отношение на транспонирането на европейското законодателство в областта на обществените поръчки</w:t>
      </w:r>
      <w:r>
        <w:rPr>
          <w:rFonts w:ascii="Times New Roman" w:hAnsi="Times New Roman" w:cs="Times New Roman"/>
        </w:rPr>
        <w:t xml:space="preserve"> и </w:t>
      </w:r>
      <w:r w:rsidRPr="0074377B">
        <w:rPr>
          <w:rFonts w:ascii="Times New Roman" w:hAnsi="Times New Roman" w:cs="Times New Roman"/>
        </w:rPr>
        <w:t>повиш</w:t>
      </w:r>
      <w:r>
        <w:rPr>
          <w:rFonts w:ascii="Times New Roman" w:hAnsi="Times New Roman" w:cs="Times New Roman"/>
        </w:rPr>
        <w:t>ава</w:t>
      </w:r>
      <w:r w:rsidRPr="0074377B">
        <w:rPr>
          <w:rFonts w:ascii="Times New Roman" w:hAnsi="Times New Roman" w:cs="Times New Roman"/>
        </w:rPr>
        <w:t xml:space="preserve"> правната сигурност. Прието е</w:t>
      </w:r>
      <w:r>
        <w:rPr>
          <w:rFonts w:ascii="Times New Roman" w:hAnsi="Times New Roman" w:cs="Times New Roman"/>
        </w:rPr>
        <w:t xml:space="preserve"> и</w:t>
      </w:r>
      <w:r w:rsidRPr="0074377B">
        <w:rPr>
          <w:rFonts w:ascii="Times New Roman" w:hAnsi="Times New Roman" w:cs="Times New Roman"/>
        </w:rPr>
        <w:t xml:space="preserve"> вторично законодателство и е изготвен наръчник с насоки за прилагането на закона и вторичното законодателство. Изготвени </w:t>
      </w:r>
      <w:r>
        <w:rPr>
          <w:rFonts w:ascii="Times New Roman" w:hAnsi="Times New Roman" w:cs="Times New Roman"/>
        </w:rPr>
        <w:t>са</w:t>
      </w:r>
      <w:r w:rsidRPr="0074377B">
        <w:rPr>
          <w:rFonts w:ascii="Times New Roman" w:hAnsi="Times New Roman" w:cs="Times New Roman"/>
        </w:rPr>
        <w:t xml:space="preserve"> някои стандартни тръжни документи и договорни клаузи.</w:t>
      </w:r>
      <w:r w:rsidRPr="00863037">
        <w:t xml:space="preserve"> </w:t>
      </w:r>
      <w:r w:rsidRPr="00863037">
        <w:rPr>
          <w:rFonts w:ascii="Times New Roman" w:hAnsi="Times New Roman" w:cs="Times New Roman"/>
        </w:rPr>
        <w:t>Въведена</w:t>
      </w:r>
      <w:r>
        <w:rPr>
          <w:rFonts w:ascii="Times New Roman" w:hAnsi="Times New Roman" w:cs="Times New Roman"/>
        </w:rPr>
        <w:t xml:space="preserve"> е</w:t>
      </w:r>
      <w:r w:rsidRPr="00863037">
        <w:rPr>
          <w:rFonts w:ascii="Times New Roman" w:hAnsi="Times New Roman" w:cs="Times New Roman"/>
        </w:rPr>
        <w:t xml:space="preserve"> нова система за осъществяване на предварителен контрол</w:t>
      </w:r>
      <w:r>
        <w:rPr>
          <w:rFonts w:ascii="Times New Roman" w:hAnsi="Times New Roman" w:cs="Times New Roman"/>
        </w:rPr>
        <w:t xml:space="preserve"> –</w:t>
      </w:r>
      <w:r w:rsidRPr="00863037">
        <w:rPr>
          <w:rFonts w:ascii="Times New Roman" w:hAnsi="Times New Roman" w:cs="Times New Roman"/>
        </w:rPr>
        <w:t xml:space="preserve"> въз</w:t>
      </w:r>
      <w:r>
        <w:rPr>
          <w:rFonts w:ascii="Times New Roman" w:hAnsi="Times New Roman" w:cs="Times New Roman"/>
        </w:rPr>
        <w:t xml:space="preserve"> </w:t>
      </w:r>
      <w:r w:rsidRPr="00863037">
        <w:rPr>
          <w:rFonts w:ascii="Times New Roman" w:hAnsi="Times New Roman" w:cs="Times New Roman"/>
        </w:rPr>
        <w:t>основа на риска и на случаен принцип</w:t>
      </w:r>
      <w:r>
        <w:rPr>
          <w:rFonts w:ascii="Times New Roman" w:hAnsi="Times New Roman" w:cs="Times New Roman"/>
        </w:rPr>
        <w:t>. Изпълнени или в процес на изпълнение са преобладаващата част от мерките, включени в Н</w:t>
      </w:r>
      <w:r w:rsidRPr="00863037">
        <w:rPr>
          <w:rFonts w:ascii="Times New Roman" w:hAnsi="Times New Roman" w:cs="Times New Roman"/>
        </w:rPr>
        <w:t xml:space="preserve">ационалната стратегия за развитие на сектора обществени поръчки </w:t>
      </w:r>
      <w:r>
        <w:rPr>
          <w:rFonts w:ascii="Times New Roman" w:hAnsi="Times New Roman" w:cs="Times New Roman"/>
        </w:rPr>
        <w:t xml:space="preserve">за периода 2014-2020 г. В ход на изпълнение е </w:t>
      </w:r>
      <w:r w:rsidRPr="00863037">
        <w:rPr>
          <w:rFonts w:ascii="Times New Roman" w:hAnsi="Times New Roman" w:cs="Times New Roman"/>
        </w:rPr>
        <w:t xml:space="preserve">планът за обучение по обществени поръчки, който е </w:t>
      </w:r>
      <w:r>
        <w:rPr>
          <w:rFonts w:ascii="Times New Roman" w:hAnsi="Times New Roman" w:cs="Times New Roman"/>
        </w:rPr>
        <w:t>насочен към</w:t>
      </w:r>
      <w:r w:rsidRPr="00863037">
        <w:rPr>
          <w:rFonts w:ascii="Times New Roman" w:hAnsi="Times New Roman" w:cs="Times New Roman"/>
        </w:rPr>
        <w:t xml:space="preserve"> по</w:t>
      </w:r>
      <w:r>
        <w:rPr>
          <w:rFonts w:ascii="Times New Roman" w:hAnsi="Times New Roman" w:cs="Times New Roman"/>
        </w:rPr>
        <w:t>вишаване</w:t>
      </w:r>
      <w:r w:rsidRPr="00863037">
        <w:rPr>
          <w:rFonts w:ascii="Times New Roman" w:hAnsi="Times New Roman" w:cs="Times New Roman"/>
        </w:rPr>
        <w:t xml:space="preserve"> капацитета на възлагащите органи, </w:t>
      </w:r>
      <w:r>
        <w:rPr>
          <w:rFonts w:ascii="Times New Roman" w:hAnsi="Times New Roman" w:cs="Times New Roman"/>
        </w:rPr>
        <w:t>с фокус върху</w:t>
      </w:r>
      <w:r w:rsidRPr="00863037">
        <w:rPr>
          <w:rFonts w:ascii="Times New Roman" w:hAnsi="Times New Roman" w:cs="Times New Roman"/>
        </w:rPr>
        <w:t xml:space="preserve"> общините.</w:t>
      </w:r>
      <w:r>
        <w:rPr>
          <w:rFonts w:ascii="Times New Roman" w:hAnsi="Times New Roman" w:cs="Times New Roman"/>
        </w:rPr>
        <w:t xml:space="preserve"> </w:t>
      </w:r>
      <w:r w:rsidRPr="00863037">
        <w:rPr>
          <w:rFonts w:ascii="Times New Roman" w:hAnsi="Times New Roman" w:cs="Times New Roman"/>
        </w:rPr>
        <w:t>Според предприятията и неправителствените организации</w:t>
      </w:r>
      <w:r>
        <w:rPr>
          <w:rFonts w:ascii="Times New Roman" w:hAnsi="Times New Roman" w:cs="Times New Roman"/>
        </w:rPr>
        <w:t>,</w:t>
      </w:r>
      <w:r w:rsidRPr="00863037">
        <w:rPr>
          <w:rFonts w:ascii="Times New Roman" w:hAnsi="Times New Roman" w:cs="Times New Roman"/>
        </w:rPr>
        <w:t xml:space="preserve"> като цяло условията за възлагане на обществени поръчки вече са започнали да се подобряват</w:t>
      </w:r>
      <w:r>
        <w:rPr>
          <w:rStyle w:val="FootnoteReference"/>
          <w:rFonts w:ascii="Times New Roman" w:hAnsi="Times New Roman"/>
        </w:rPr>
        <w:footnoteReference w:id="84"/>
      </w:r>
      <w:r w:rsidRPr="00863037">
        <w:rPr>
          <w:rFonts w:ascii="Times New Roman" w:hAnsi="Times New Roman" w:cs="Times New Roman"/>
        </w:rPr>
        <w:t xml:space="preserve">. </w:t>
      </w:r>
      <w:r>
        <w:rPr>
          <w:rFonts w:ascii="Times New Roman" w:hAnsi="Times New Roman" w:cs="Times New Roman"/>
        </w:rPr>
        <w:t xml:space="preserve">До края на 2018 г. трябва да приключи </w:t>
      </w:r>
      <w:r w:rsidRPr="00863037">
        <w:rPr>
          <w:rFonts w:ascii="Times New Roman" w:hAnsi="Times New Roman" w:cs="Times New Roman"/>
        </w:rPr>
        <w:t>оценка</w:t>
      </w:r>
      <w:r>
        <w:rPr>
          <w:rFonts w:ascii="Times New Roman" w:hAnsi="Times New Roman" w:cs="Times New Roman"/>
        </w:rPr>
        <w:t>та</w:t>
      </w:r>
      <w:r w:rsidRPr="00863037">
        <w:rPr>
          <w:rFonts w:ascii="Times New Roman" w:hAnsi="Times New Roman" w:cs="Times New Roman"/>
        </w:rPr>
        <w:t xml:space="preserve"> на системата за обществени поръчки</w:t>
      </w:r>
      <w:r>
        <w:rPr>
          <w:rFonts w:ascii="Times New Roman" w:hAnsi="Times New Roman" w:cs="Times New Roman"/>
        </w:rPr>
        <w:t>, извършвана от Световната банка, която ще оцени ефективността на последните промени в областта и ще отправи конкретни препоръки.</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Въпреки положените усилия и постигнатото подобрение, продължават да са налице предизвикателства.</w:t>
      </w:r>
      <w:r w:rsidRPr="003C566B">
        <w:rPr>
          <w:rFonts w:ascii="Times New Roman" w:hAnsi="Times New Roman" w:cs="Times New Roman"/>
        </w:rPr>
        <w:t xml:space="preserve"> </w:t>
      </w:r>
      <w:r>
        <w:rPr>
          <w:rFonts w:ascii="Times New Roman" w:hAnsi="Times New Roman" w:cs="Times New Roman"/>
        </w:rPr>
        <w:t xml:space="preserve">Един от най-сериозните проблеми касае нарастването на жалбите по процедурите за възлагане на обществените поръчки и произтичащите от това забавяния в изпълнението на проектите. Същевременно, почти 2/3 от обществените поръчки в страната се възлагат главно </w:t>
      </w:r>
      <w:r w:rsidRPr="003E5F59">
        <w:rPr>
          <w:rFonts w:ascii="Times New Roman" w:hAnsi="Times New Roman" w:cs="Times New Roman"/>
        </w:rPr>
        <w:t>въз основа на критерия на най-ниската цена, което в крайна сметка се отразява на качеството на публичните услуги.</w:t>
      </w:r>
      <w:r>
        <w:rPr>
          <w:rFonts w:ascii="Times New Roman" w:hAnsi="Times New Roman" w:cs="Times New Roman"/>
        </w:rPr>
        <w:t xml:space="preserve"> </w:t>
      </w:r>
      <w:r w:rsidRPr="00C118E1">
        <w:rPr>
          <w:rFonts w:ascii="Times New Roman" w:hAnsi="Times New Roman" w:cs="Times New Roman"/>
        </w:rPr>
        <w:t>Потенциалът</w:t>
      </w:r>
      <w:r>
        <w:rPr>
          <w:rFonts w:ascii="Times New Roman" w:hAnsi="Times New Roman" w:cs="Times New Roman"/>
        </w:rPr>
        <w:t xml:space="preserve"> </w:t>
      </w:r>
      <w:r w:rsidRPr="00C118E1">
        <w:rPr>
          <w:rFonts w:ascii="Times New Roman" w:hAnsi="Times New Roman" w:cs="Times New Roman"/>
        </w:rPr>
        <w:t>на централизираните покупки остава неизползван</w:t>
      </w:r>
      <w:r>
        <w:rPr>
          <w:rFonts w:ascii="Times New Roman" w:hAnsi="Times New Roman" w:cs="Times New Roman"/>
        </w:rPr>
        <w:t>, особено на местно ниво. На следващо място, прозрачността на възлагане на обществени поръчки в страната намалява значително през последните години, като през 2017 г. всяка четвърта обществена поръчка е възложена без предварително публикуване, докато</w:t>
      </w:r>
      <w:r w:rsidRPr="003E5F59">
        <w:rPr>
          <w:rFonts w:ascii="Times New Roman" w:hAnsi="Times New Roman" w:cs="Times New Roman"/>
        </w:rPr>
        <w:t xml:space="preserve"> средно</w:t>
      </w:r>
      <w:r>
        <w:rPr>
          <w:rFonts w:ascii="Times New Roman" w:hAnsi="Times New Roman" w:cs="Times New Roman"/>
        </w:rPr>
        <w:t>то</w:t>
      </w:r>
      <w:r w:rsidRPr="003E5F59">
        <w:rPr>
          <w:rFonts w:ascii="Times New Roman" w:hAnsi="Times New Roman" w:cs="Times New Roman"/>
        </w:rPr>
        <w:t xml:space="preserve"> </w:t>
      </w:r>
      <w:r>
        <w:rPr>
          <w:rFonts w:ascii="Times New Roman" w:hAnsi="Times New Roman" w:cs="Times New Roman"/>
        </w:rPr>
        <w:t>ниво на пряко възлагане в</w:t>
      </w:r>
      <w:r w:rsidRPr="003E5F59">
        <w:rPr>
          <w:rFonts w:ascii="Times New Roman" w:hAnsi="Times New Roman" w:cs="Times New Roman"/>
        </w:rPr>
        <w:t xml:space="preserve"> ЕС </w:t>
      </w:r>
      <w:r>
        <w:rPr>
          <w:rFonts w:ascii="Times New Roman" w:hAnsi="Times New Roman" w:cs="Times New Roman"/>
        </w:rPr>
        <w:t xml:space="preserve">е </w:t>
      </w:r>
      <w:r w:rsidRPr="003E5F59">
        <w:rPr>
          <w:rFonts w:ascii="Times New Roman" w:hAnsi="Times New Roman" w:cs="Times New Roman"/>
        </w:rPr>
        <w:t>5</w:t>
      </w:r>
      <w:r>
        <w:rPr>
          <w:rFonts w:ascii="Times New Roman" w:hAnsi="Times New Roman" w:cs="Times New Roman"/>
        </w:rPr>
        <w:t>%</w:t>
      </w:r>
      <w:r>
        <w:rPr>
          <w:rStyle w:val="FootnoteReference"/>
          <w:rFonts w:ascii="Times New Roman" w:hAnsi="Times New Roman"/>
        </w:rPr>
        <w:footnoteReference w:id="85"/>
      </w:r>
      <w:r w:rsidRPr="003E5F59">
        <w:rPr>
          <w:rFonts w:ascii="Times New Roman" w:hAnsi="Times New Roman" w:cs="Times New Roman"/>
        </w:rPr>
        <w:t>. Тази тенденция би могла да възпрепятства значително конкуренцията в сектора.</w:t>
      </w:r>
      <w:r>
        <w:rPr>
          <w:rFonts w:ascii="Times New Roman" w:hAnsi="Times New Roman" w:cs="Times New Roman"/>
        </w:rPr>
        <w:t xml:space="preserve"> </w:t>
      </w:r>
      <w:r w:rsidRPr="003E5F59">
        <w:rPr>
          <w:rFonts w:ascii="Times New Roman" w:hAnsi="Times New Roman" w:cs="Times New Roman"/>
        </w:rPr>
        <w:t xml:space="preserve">Липсата на прозрачност на тръжните процедури се дължи отчасти на все още </w:t>
      </w:r>
      <w:proofErr w:type="spellStart"/>
      <w:r w:rsidRPr="003E5F59">
        <w:rPr>
          <w:rFonts w:ascii="Times New Roman" w:hAnsi="Times New Roman" w:cs="Times New Roman"/>
        </w:rPr>
        <w:t>неприключилия</w:t>
      </w:r>
      <w:proofErr w:type="spellEnd"/>
      <w:r w:rsidRPr="003E5F59">
        <w:rPr>
          <w:rFonts w:ascii="Times New Roman" w:hAnsi="Times New Roman" w:cs="Times New Roman"/>
        </w:rPr>
        <w:t xml:space="preserve"> процес на въвеждане на електронни обществени поръчки. </w:t>
      </w:r>
      <w:r>
        <w:rPr>
          <w:rFonts w:ascii="Times New Roman" w:hAnsi="Times New Roman" w:cs="Times New Roman"/>
        </w:rPr>
        <w:t>Електронната платформа за възлагане на обществени поръчки вече е разработена и се очаква от началото на 2019 г. възлагането да става само по електронен път. Очакваните п</w:t>
      </w:r>
      <w:r w:rsidRPr="003E5F59">
        <w:rPr>
          <w:rFonts w:ascii="Times New Roman" w:hAnsi="Times New Roman" w:cs="Times New Roman"/>
        </w:rPr>
        <w:t>олзи</w:t>
      </w:r>
      <w:r>
        <w:rPr>
          <w:rFonts w:ascii="Times New Roman" w:hAnsi="Times New Roman" w:cs="Times New Roman"/>
        </w:rPr>
        <w:t xml:space="preserve"> </w:t>
      </w:r>
      <w:r w:rsidRPr="003E5F59">
        <w:rPr>
          <w:rFonts w:ascii="Times New Roman" w:hAnsi="Times New Roman" w:cs="Times New Roman"/>
        </w:rPr>
        <w:t xml:space="preserve">от преминаването към електронни </w:t>
      </w:r>
      <w:r w:rsidRPr="00104B0C">
        <w:rPr>
          <w:rFonts w:ascii="Times New Roman" w:hAnsi="Times New Roman" w:cs="Times New Roman"/>
        </w:rPr>
        <w:t xml:space="preserve">обществени поръчки </w:t>
      </w:r>
      <w:r>
        <w:rPr>
          <w:rFonts w:ascii="Times New Roman" w:hAnsi="Times New Roman" w:cs="Times New Roman"/>
        </w:rPr>
        <w:t>са свързани с</w:t>
      </w:r>
      <w:r w:rsidRPr="003E5F59">
        <w:rPr>
          <w:rFonts w:ascii="Times New Roman" w:hAnsi="Times New Roman" w:cs="Times New Roman"/>
        </w:rPr>
        <w:t xml:space="preserve"> подобря</w:t>
      </w:r>
      <w:r>
        <w:rPr>
          <w:rFonts w:ascii="Times New Roman" w:hAnsi="Times New Roman" w:cs="Times New Roman"/>
        </w:rPr>
        <w:t>ване на</w:t>
      </w:r>
      <w:r w:rsidRPr="003E5F59">
        <w:rPr>
          <w:rFonts w:ascii="Times New Roman" w:hAnsi="Times New Roman" w:cs="Times New Roman"/>
        </w:rPr>
        <w:t xml:space="preserve"> общата административна ефективност на обществените поръчки чрез съкращаване на продължителността на </w:t>
      </w:r>
      <w:r w:rsidRPr="003E5F59">
        <w:rPr>
          <w:rFonts w:ascii="Times New Roman" w:hAnsi="Times New Roman" w:cs="Times New Roman"/>
        </w:rPr>
        <w:lastRenderedPageBreak/>
        <w:t xml:space="preserve">цикъла от покупката до плащането, намаляване на административната тежест и подобряване на проследимостта. </w:t>
      </w:r>
      <w:r>
        <w:rPr>
          <w:rFonts w:ascii="Times New Roman" w:hAnsi="Times New Roman" w:cs="Times New Roman"/>
        </w:rPr>
        <w:t>По този начин</w:t>
      </w:r>
      <w:r w:rsidRPr="003E5F59">
        <w:rPr>
          <w:rFonts w:ascii="Times New Roman" w:hAnsi="Times New Roman" w:cs="Times New Roman"/>
        </w:rPr>
        <w:t xml:space="preserve"> ще </w:t>
      </w:r>
      <w:r>
        <w:rPr>
          <w:rFonts w:ascii="Times New Roman" w:hAnsi="Times New Roman" w:cs="Times New Roman"/>
        </w:rPr>
        <w:t xml:space="preserve">бъде </w:t>
      </w:r>
      <w:r w:rsidRPr="003E5F59">
        <w:rPr>
          <w:rFonts w:ascii="Times New Roman" w:hAnsi="Times New Roman" w:cs="Times New Roman"/>
        </w:rPr>
        <w:t>намал</w:t>
      </w:r>
      <w:r>
        <w:rPr>
          <w:rFonts w:ascii="Times New Roman" w:hAnsi="Times New Roman" w:cs="Times New Roman"/>
        </w:rPr>
        <w:t>ен и</w:t>
      </w:r>
      <w:r w:rsidRPr="003E5F59">
        <w:rPr>
          <w:rFonts w:ascii="Times New Roman" w:hAnsi="Times New Roman" w:cs="Times New Roman"/>
        </w:rPr>
        <w:t xml:space="preserve"> риск</w:t>
      </w:r>
      <w:r>
        <w:rPr>
          <w:rFonts w:ascii="Times New Roman" w:hAnsi="Times New Roman" w:cs="Times New Roman"/>
        </w:rPr>
        <w:t>ът</w:t>
      </w:r>
      <w:r w:rsidRPr="003E5F59">
        <w:rPr>
          <w:rFonts w:ascii="Times New Roman" w:hAnsi="Times New Roman" w:cs="Times New Roman"/>
        </w:rPr>
        <w:t xml:space="preserve"> от корупция и измами, като същевременно </w:t>
      </w:r>
      <w:r>
        <w:rPr>
          <w:rFonts w:ascii="Times New Roman" w:hAnsi="Times New Roman" w:cs="Times New Roman"/>
        </w:rPr>
        <w:t xml:space="preserve">е възможно да се понижи </w:t>
      </w:r>
      <w:r w:rsidRPr="003E5F59">
        <w:rPr>
          <w:rFonts w:ascii="Times New Roman" w:hAnsi="Times New Roman" w:cs="Times New Roman"/>
        </w:rPr>
        <w:t>цен</w:t>
      </w:r>
      <w:r>
        <w:rPr>
          <w:rFonts w:ascii="Times New Roman" w:hAnsi="Times New Roman" w:cs="Times New Roman"/>
        </w:rPr>
        <w:t xml:space="preserve">ата </w:t>
      </w:r>
      <w:r w:rsidRPr="003E5F59">
        <w:rPr>
          <w:rFonts w:ascii="Times New Roman" w:hAnsi="Times New Roman" w:cs="Times New Roman"/>
        </w:rPr>
        <w:t xml:space="preserve">и </w:t>
      </w:r>
      <w:r>
        <w:rPr>
          <w:rFonts w:ascii="Times New Roman" w:hAnsi="Times New Roman" w:cs="Times New Roman"/>
        </w:rPr>
        <w:t xml:space="preserve">повиши качеството, поради </w:t>
      </w:r>
      <w:r w:rsidRPr="003E5F59">
        <w:rPr>
          <w:rFonts w:ascii="Times New Roman" w:hAnsi="Times New Roman" w:cs="Times New Roman"/>
        </w:rPr>
        <w:t>стимулиране на конкуренцията.</w:t>
      </w:r>
    </w:p>
    <w:p w:rsidR="00AE0F90" w:rsidRPr="0078586C" w:rsidRDefault="00AE0F90" w:rsidP="00AE0F90">
      <w:pPr>
        <w:pStyle w:val="Heading2"/>
        <w:numPr>
          <w:ilvl w:val="1"/>
          <w:numId w:val="16"/>
        </w:numPr>
        <w:rPr>
          <w:color w:val="1F497D"/>
        </w:rPr>
      </w:pPr>
      <w:bookmarkStart w:id="28" w:name="_Toc791814"/>
      <w:r w:rsidRPr="0078586C">
        <w:rPr>
          <w:color w:val="1F497D"/>
        </w:rPr>
        <w:t>Конкурентоспособност на икономическите сектори</w:t>
      </w:r>
      <w:bookmarkEnd w:id="28"/>
    </w:p>
    <w:p w:rsidR="00AE0F90" w:rsidRPr="00CB4426" w:rsidRDefault="00AE0F90" w:rsidP="00AE0F90">
      <w:pPr>
        <w:pStyle w:val="ListParagraph"/>
        <w:spacing w:line="269" w:lineRule="auto"/>
        <w:ind w:left="0" w:firstLine="0"/>
        <w:contextualSpacing w:val="0"/>
        <w:jc w:val="both"/>
        <w:rPr>
          <w:rFonts w:ascii="Times New Roman" w:hAnsi="Times New Roman" w:cs="Times New Roman"/>
          <w:i/>
        </w:rPr>
      </w:pPr>
      <w:r w:rsidRPr="00CB4426">
        <w:rPr>
          <w:rFonts w:ascii="Times New Roman" w:hAnsi="Times New Roman" w:cs="Times New Roman"/>
          <w:i/>
        </w:rPr>
        <w:t xml:space="preserve">Българските продукти стават </w:t>
      </w:r>
      <w:r>
        <w:rPr>
          <w:rFonts w:ascii="Times New Roman" w:hAnsi="Times New Roman" w:cs="Times New Roman"/>
          <w:i/>
        </w:rPr>
        <w:t>все по-конкурентоспособни и страната увеличава трайно присъствието си в световната и вътрешната за ЕС търговия. Нараства диверсификацията на изнасяните продукти при повишаване на присъствието на инвестиционните стоки, но при все още преобладаващ дял на суровините. Повишава се средната технологична интензивност на българския износ, но страната продължава да изнася предимно ниско и средно-ниско технологични продукти.</w:t>
      </w:r>
      <w:r w:rsidRPr="00BE2C14">
        <w:t xml:space="preserve"> </w:t>
      </w:r>
      <w:r w:rsidRPr="00BE2C14">
        <w:rPr>
          <w:rFonts w:ascii="Times New Roman" w:hAnsi="Times New Roman" w:cs="Times New Roman"/>
          <w:i/>
        </w:rPr>
        <w:t>Повишаването на специализацията в продукти и отрасли, характеризиращи се с по-висока технологична и НИРД интензивност (а следователно – и с по-висока добавена стойност) –</w:t>
      </w:r>
      <w:r>
        <w:rPr>
          <w:rFonts w:ascii="Times New Roman" w:hAnsi="Times New Roman" w:cs="Times New Roman"/>
          <w:i/>
        </w:rPr>
        <w:t xml:space="preserve"> при</w:t>
      </w:r>
      <w:r w:rsidRPr="00BE2C14">
        <w:t xml:space="preserve"> </w:t>
      </w:r>
      <w:r w:rsidRPr="00BE2C14">
        <w:rPr>
          <w:rFonts w:ascii="Times New Roman" w:hAnsi="Times New Roman" w:cs="Times New Roman"/>
          <w:i/>
        </w:rPr>
        <w:t>целенасочена и добре фокусирана правителствена подкрепа</w:t>
      </w:r>
      <w:r>
        <w:rPr>
          <w:rFonts w:ascii="Times New Roman" w:hAnsi="Times New Roman" w:cs="Times New Roman"/>
          <w:i/>
        </w:rPr>
        <w:t xml:space="preserve"> </w:t>
      </w:r>
      <w:r w:rsidRPr="00BE2C14">
        <w:rPr>
          <w:rFonts w:ascii="Times New Roman" w:hAnsi="Times New Roman" w:cs="Times New Roman"/>
          <w:i/>
        </w:rPr>
        <w:t>– ще позволи заемането на по-добри  и по-престижни позиции в глобалните вериги на стойността.</w:t>
      </w:r>
    </w:p>
    <w:p w:rsidR="00AE0F90" w:rsidRPr="00DC4A4B"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Pr>
          <w:rFonts w:ascii="Times New Roman" w:hAnsi="Times New Roman" w:cs="Times New Roman"/>
          <w:b/>
          <w:sz w:val="18"/>
          <w:szCs w:val="18"/>
        </w:rPr>
        <w:t>Графика</w:t>
      </w:r>
      <w:r w:rsidR="00227FC6">
        <w:rPr>
          <w:rFonts w:ascii="Times New Roman" w:hAnsi="Times New Roman" w:cs="Times New Roman"/>
          <w:b/>
          <w:sz w:val="18"/>
          <w:szCs w:val="18"/>
        </w:rPr>
        <w:t xml:space="preserve"> 10.</w:t>
      </w:r>
      <w:r w:rsidRPr="001D5C3E">
        <w:rPr>
          <w:rFonts w:ascii="Times New Roman" w:hAnsi="Times New Roman" w:cs="Times New Roman"/>
          <w:b/>
          <w:sz w:val="18"/>
          <w:szCs w:val="18"/>
        </w:rPr>
        <w:t xml:space="preserve"> </w:t>
      </w:r>
      <w:r>
        <w:rPr>
          <w:rFonts w:ascii="Times New Roman" w:hAnsi="Times New Roman" w:cs="Times New Roman"/>
          <w:b/>
          <w:sz w:val="18"/>
          <w:szCs w:val="18"/>
        </w:rPr>
        <w:t>Динамика на износа на България по стокови групи 2008-2017 г.</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w:drawing>
          <wp:anchor distT="0" distB="0" distL="114300" distR="114300" simplePos="0" relativeHeight="251656704" behindDoc="0" locked="0" layoutInCell="1" allowOverlap="1" wp14:anchorId="71F6902C" wp14:editId="1B05D0E3">
            <wp:simplePos x="0" y="0"/>
            <wp:positionH relativeFrom="column">
              <wp:posOffset>3003550</wp:posOffset>
            </wp:positionH>
            <wp:positionV relativeFrom="paragraph">
              <wp:posOffset>106045</wp:posOffset>
            </wp:positionV>
            <wp:extent cx="3115310" cy="1899285"/>
            <wp:effectExtent l="0" t="0" r="8890" b="571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15310" cy="189928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rPr>
        <w:t>За последните десет години износът</w:t>
      </w:r>
      <w:r>
        <w:rPr>
          <w:rStyle w:val="FootnoteReference"/>
          <w:rFonts w:ascii="Times New Roman" w:hAnsi="Times New Roman"/>
        </w:rPr>
        <w:footnoteReference w:id="86"/>
      </w:r>
      <w:r>
        <w:rPr>
          <w:rFonts w:ascii="Times New Roman" w:hAnsi="Times New Roman" w:cs="Times New Roman"/>
        </w:rPr>
        <w:t xml:space="preserve"> на страната нараства с 51.4% в реално изражение, като повишава дела си в БВП от 52.5% през 2008 г. до 66.3% през 2017 г., което е индикация за растяща </w:t>
      </w:r>
      <w:r w:rsidRPr="00113D4F">
        <w:rPr>
          <w:rFonts w:ascii="Times New Roman" w:eastAsia="Calibri" w:hAnsi="Times New Roman" w:cs="Times New Roman"/>
          <w:b/>
          <w:color w:val="365F91"/>
          <w:lang w:eastAsia="en-US"/>
        </w:rPr>
        <w:t>конкурентоспособност</w:t>
      </w:r>
      <w:r>
        <w:rPr>
          <w:rFonts w:ascii="Times New Roman" w:hAnsi="Times New Roman" w:cs="Times New Roman"/>
        </w:rPr>
        <w:t xml:space="preserve"> на българските продукти на международните пазари. През периода България съумява да увеличи дела си както в световната търговия (съответно от 0.14% до 0.17%), така и във вътрешно-общностната търговия (от 0.34% до 0.53%).</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При това се наблюдава и нарастваща диверсификация както при изнасяните стоки (формиращи над 2/3 от общия износ на страната), така и при задгранично предлаганите услуги. При последните се наблюдава нарастване на важността на ИКТ сектора, в допълнение към растежа на традиционните сектори на туризма и транспорта. В стоковата структура на износа продължава </w:t>
      </w:r>
      <w:proofErr w:type="spellStart"/>
      <w:r>
        <w:rPr>
          <w:rFonts w:ascii="Times New Roman" w:hAnsi="Times New Roman" w:cs="Times New Roman"/>
        </w:rPr>
        <w:t>доминацията</w:t>
      </w:r>
      <w:proofErr w:type="spellEnd"/>
      <w:r>
        <w:rPr>
          <w:rFonts w:ascii="Times New Roman" w:hAnsi="Times New Roman" w:cs="Times New Roman"/>
        </w:rPr>
        <w:t xml:space="preserve"> на металите и селскостопанската продукция, но </w:t>
      </w:r>
      <w:r w:rsidRPr="002F0211">
        <w:rPr>
          <w:rFonts w:ascii="Times New Roman" w:hAnsi="Times New Roman" w:cs="Times New Roman"/>
        </w:rPr>
        <w:t>фармацевтичните продукти</w:t>
      </w:r>
      <w:r>
        <w:rPr>
          <w:rFonts w:ascii="Times New Roman" w:hAnsi="Times New Roman" w:cs="Times New Roman"/>
        </w:rPr>
        <w:t xml:space="preserve">, </w:t>
      </w:r>
      <w:r w:rsidRPr="002F0211">
        <w:rPr>
          <w:rFonts w:ascii="Times New Roman" w:hAnsi="Times New Roman" w:cs="Times New Roman"/>
        </w:rPr>
        <w:t xml:space="preserve">превозните средства и </w:t>
      </w:r>
      <w:r>
        <w:rPr>
          <w:rFonts w:ascii="Times New Roman" w:hAnsi="Times New Roman" w:cs="Times New Roman"/>
        </w:rPr>
        <w:t>е</w:t>
      </w:r>
      <w:r w:rsidRPr="002F0211">
        <w:rPr>
          <w:rFonts w:ascii="Times New Roman" w:hAnsi="Times New Roman" w:cs="Times New Roman"/>
        </w:rPr>
        <w:t>лектрическото оборудване</w:t>
      </w:r>
      <w:r>
        <w:rPr>
          <w:rFonts w:ascii="Times New Roman" w:hAnsi="Times New Roman" w:cs="Times New Roman"/>
        </w:rPr>
        <w:t xml:space="preserve"> увеличават значително присъствието си. Въпреки че през 2017 г. суровините, материалите и енергийните ресурси все още формират малко над ½ от износа на страната</w:t>
      </w:r>
      <w:r>
        <w:rPr>
          <w:rStyle w:val="FootnoteReference"/>
          <w:rFonts w:ascii="Times New Roman" w:hAnsi="Times New Roman"/>
        </w:rPr>
        <w:footnoteReference w:id="87"/>
      </w:r>
      <w:r>
        <w:rPr>
          <w:rFonts w:ascii="Times New Roman" w:hAnsi="Times New Roman" w:cs="Times New Roman"/>
        </w:rPr>
        <w:t xml:space="preserve">, позитивна е тенденцията на намаляване на тяхната тежест в структурата на изнасяната продукция с почти 11 процентни пункта за десетгодишния период. До голяма степен това е за сметка на нарастване на относителния дял на инвестиционните стоки </w:t>
      </w:r>
      <w:r>
        <w:rPr>
          <w:rFonts w:ascii="Times New Roman" w:hAnsi="Times New Roman" w:cs="Times New Roman"/>
          <w:lang w:val="en-GB"/>
        </w:rPr>
        <w:t>(+8.6</w:t>
      </w:r>
      <w:r>
        <w:rPr>
          <w:rFonts w:ascii="Times New Roman" w:hAnsi="Times New Roman" w:cs="Times New Roman"/>
        </w:rPr>
        <w:t xml:space="preserve"> процентни пункта</w:t>
      </w:r>
      <w:r>
        <w:rPr>
          <w:rFonts w:ascii="Times New Roman" w:hAnsi="Times New Roman" w:cs="Times New Roman"/>
          <w:lang w:val="en-GB"/>
        </w:rPr>
        <w:t>)</w:t>
      </w:r>
      <w:r>
        <w:rPr>
          <w:rFonts w:ascii="Times New Roman" w:hAnsi="Times New Roman" w:cs="Times New Roman"/>
        </w:rPr>
        <w:t xml:space="preserve">, докато при потребителските стоки растежът е по-скромен </w:t>
      </w:r>
      <w:r>
        <w:rPr>
          <w:rFonts w:ascii="Times New Roman" w:hAnsi="Times New Roman" w:cs="Times New Roman"/>
          <w:lang w:val="en-GB"/>
        </w:rPr>
        <w:t>(</w:t>
      </w:r>
      <w:r>
        <w:rPr>
          <w:rFonts w:ascii="Times New Roman" w:hAnsi="Times New Roman" w:cs="Times New Roman"/>
        </w:rPr>
        <w:t>+2.1процентни пункта</w:t>
      </w:r>
      <w:r>
        <w:rPr>
          <w:rFonts w:ascii="Times New Roman" w:hAnsi="Times New Roman" w:cs="Times New Roman"/>
          <w:lang w:val="en-GB"/>
        </w:rPr>
        <w:t>)</w:t>
      </w:r>
      <w:r>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Допълнителни позитивни тенденции се открояват при анализ на динамиката на структурата на износа по степен на технологична интензивност на продуктите, както и по интензивност на влаганите в производството им фактори.</w:t>
      </w:r>
      <w:r>
        <w:rPr>
          <w:rFonts w:ascii="Times New Roman" w:hAnsi="Times New Roman" w:cs="Times New Roman"/>
          <w:lang w:val="en-GB"/>
        </w:rPr>
        <w:t xml:space="preserve"> </w:t>
      </w:r>
      <w:r>
        <w:rPr>
          <w:rFonts w:ascii="Times New Roman" w:hAnsi="Times New Roman" w:cs="Times New Roman"/>
        </w:rPr>
        <w:t xml:space="preserve">Ниско и средно-ниско технологичните продукти преобладават в стоковата листа на българския износ, но през разглеждания период общият им дял намалява от 74% през 2008 г. до 61.3% през 2017 г. Високо технологичните продукти почти удвояват тежестта в изнасяната продукция </w:t>
      </w:r>
      <w:r>
        <w:rPr>
          <w:rFonts w:ascii="Times New Roman" w:hAnsi="Times New Roman" w:cs="Times New Roman"/>
          <w:lang w:val="en-GB"/>
        </w:rPr>
        <w:t>(</w:t>
      </w:r>
      <w:r>
        <w:rPr>
          <w:rFonts w:ascii="Times New Roman" w:hAnsi="Times New Roman" w:cs="Times New Roman"/>
        </w:rPr>
        <w:t>до 7.2% през 2017 г.</w:t>
      </w:r>
      <w:r>
        <w:rPr>
          <w:rFonts w:ascii="Times New Roman" w:hAnsi="Times New Roman" w:cs="Times New Roman"/>
          <w:lang w:val="en-GB"/>
        </w:rPr>
        <w:t>)</w:t>
      </w:r>
      <w:r>
        <w:rPr>
          <w:rFonts w:ascii="Times New Roman" w:hAnsi="Times New Roman" w:cs="Times New Roman"/>
        </w:rPr>
        <w:t>, макар и от изключително ниска стартова позиция.</w:t>
      </w:r>
    </w:p>
    <w:p w:rsidR="00AE0F90" w:rsidRDefault="00AE0F90" w:rsidP="00AE0F90">
      <w:pPr>
        <w:pStyle w:val="ListParagraph"/>
        <w:keepNext/>
        <w:spacing w:after="0" w:line="269" w:lineRule="auto"/>
        <w:ind w:left="0" w:firstLine="0"/>
        <w:contextualSpacing w:val="0"/>
        <w:jc w:val="both"/>
        <w:rPr>
          <w:rFonts w:ascii="Times New Roman" w:hAnsi="Times New Roman" w:cs="Times New Roman"/>
          <w:b/>
          <w:sz w:val="18"/>
          <w:szCs w:val="18"/>
        </w:rPr>
      </w:pPr>
      <w:r>
        <w:rPr>
          <w:rFonts w:ascii="Times New Roman" w:hAnsi="Times New Roman" w:cs="Times New Roman"/>
          <w:b/>
          <w:sz w:val="18"/>
          <w:szCs w:val="18"/>
        </w:rPr>
        <w:lastRenderedPageBreak/>
        <w:t>Графика</w:t>
      </w:r>
      <w:r w:rsidR="00227FC6">
        <w:rPr>
          <w:rFonts w:ascii="Times New Roman" w:hAnsi="Times New Roman" w:cs="Times New Roman"/>
          <w:b/>
          <w:sz w:val="18"/>
          <w:szCs w:val="18"/>
        </w:rPr>
        <w:t xml:space="preserve"> 11.</w:t>
      </w:r>
      <w:r w:rsidRPr="001D5C3E">
        <w:rPr>
          <w:rFonts w:ascii="Times New Roman" w:hAnsi="Times New Roman" w:cs="Times New Roman"/>
          <w:b/>
          <w:sz w:val="18"/>
          <w:szCs w:val="18"/>
        </w:rPr>
        <w:t xml:space="preserve"> </w:t>
      </w:r>
      <w:r>
        <w:rPr>
          <w:rFonts w:ascii="Times New Roman" w:hAnsi="Times New Roman" w:cs="Times New Roman"/>
          <w:b/>
          <w:sz w:val="18"/>
          <w:szCs w:val="18"/>
        </w:rPr>
        <w:t xml:space="preserve">Динамика на износа на България по </w:t>
      </w:r>
      <w:r w:rsidRPr="00970B83">
        <w:rPr>
          <w:rFonts w:ascii="Times New Roman" w:hAnsi="Times New Roman" w:cs="Times New Roman"/>
          <w:b/>
          <w:sz w:val="18"/>
          <w:szCs w:val="18"/>
        </w:rPr>
        <w:t>степен на технологична интензивност</w:t>
      </w:r>
      <w:r>
        <w:rPr>
          <w:rStyle w:val="FootnoteReference"/>
          <w:rFonts w:ascii="Times New Roman" w:hAnsi="Times New Roman"/>
          <w:b/>
          <w:sz w:val="18"/>
          <w:szCs w:val="18"/>
        </w:rPr>
        <w:footnoteReference w:id="88"/>
      </w:r>
      <w:r w:rsidRPr="00970B83">
        <w:rPr>
          <w:rFonts w:ascii="Times New Roman" w:hAnsi="Times New Roman" w:cs="Times New Roman"/>
          <w:b/>
          <w:sz w:val="18"/>
          <w:szCs w:val="18"/>
        </w:rPr>
        <w:t xml:space="preserve"> на </w:t>
      </w:r>
      <w:r>
        <w:rPr>
          <w:rFonts w:ascii="Times New Roman" w:hAnsi="Times New Roman" w:cs="Times New Roman"/>
          <w:b/>
          <w:sz w:val="18"/>
          <w:szCs w:val="18"/>
        </w:rPr>
        <w:t xml:space="preserve">производството на </w:t>
      </w:r>
      <w:r w:rsidRPr="00970B83">
        <w:rPr>
          <w:rFonts w:ascii="Times New Roman" w:hAnsi="Times New Roman" w:cs="Times New Roman"/>
          <w:b/>
          <w:sz w:val="18"/>
          <w:szCs w:val="18"/>
        </w:rPr>
        <w:t>продуктите, както и по интензивност на влаганите в производството им фактори</w:t>
      </w:r>
      <w:r>
        <w:rPr>
          <w:rStyle w:val="FootnoteReference"/>
          <w:rFonts w:ascii="Times New Roman" w:hAnsi="Times New Roman"/>
          <w:b/>
          <w:sz w:val="18"/>
          <w:szCs w:val="18"/>
        </w:rPr>
        <w:footnoteReference w:id="89"/>
      </w:r>
      <w:r w:rsidRPr="00970B83">
        <w:rPr>
          <w:rFonts w:ascii="Times New Roman" w:hAnsi="Times New Roman" w:cs="Times New Roman"/>
          <w:b/>
          <w:sz w:val="18"/>
          <w:szCs w:val="18"/>
        </w:rPr>
        <w:t xml:space="preserve"> </w:t>
      </w:r>
      <w:r>
        <w:rPr>
          <w:rFonts w:ascii="Times New Roman" w:hAnsi="Times New Roman" w:cs="Times New Roman"/>
          <w:b/>
          <w:sz w:val="18"/>
          <w:szCs w:val="18"/>
        </w:rPr>
        <w:t>2008-2017 г.</w:t>
      </w:r>
    </w:p>
    <w:p w:rsidR="00AE0F90" w:rsidRDefault="009B05DA" w:rsidP="00AE0F90">
      <w:pPr>
        <w:pStyle w:val="ListParagraph"/>
        <w:spacing w:line="269" w:lineRule="auto"/>
        <w:ind w:left="0" w:firstLine="0"/>
        <w:contextualSpacing w:val="0"/>
        <w:jc w:val="both"/>
        <w:rPr>
          <w:rFonts w:ascii="Times New Roman" w:hAnsi="Times New Roman" w:cs="Times New Roman"/>
          <w:b/>
          <w:sz w:val="18"/>
          <w:szCs w:val="18"/>
        </w:rPr>
      </w:pPr>
      <w:r>
        <w:rPr>
          <w:rFonts w:ascii="Times New Roman" w:hAnsi="Times New Roman" w:cs="Times New Roman"/>
          <w:noProof/>
        </w:rPr>
        <w:drawing>
          <wp:anchor distT="0" distB="0" distL="114300" distR="114300" simplePos="0" relativeHeight="251657728" behindDoc="0" locked="0" layoutInCell="1" allowOverlap="1" wp14:anchorId="6F14847B" wp14:editId="012B558E">
            <wp:simplePos x="0" y="0"/>
            <wp:positionH relativeFrom="margin">
              <wp:posOffset>3107055</wp:posOffset>
            </wp:positionH>
            <wp:positionV relativeFrom="paragraph">
              <wp:posOffset>-5080</wp:posOffset>
            </wp:positionV>
            <wp:extent cx="3098800" cy="1849755"/>
            <wp:effectExtent l="0" t="0" r="635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098800" cy="1849755"/>
                    </a:xfrm>
                    <a:prstGeom prst="rect">
                      <a:avLst/>
                    </a:prstGeom>
                    <a:noFill/>
                  </pic:spPr>
                </pic:pic>
              </a:graphicData>
            </a:graphic>
            <wp14:sizeRelH relativeFrom="page">
              <wp14:pctWidth>0</wp14:pctWidth>
            </wp14:sizeRelH>
            <wp14:sizeRelV relativeFrom="page">
              <wp14:pctHeight>0</wp14:pctHeight>
            </wp14:sizeRelV>
          </wp:anchor>
        </w:drawing>
      </w:r>
      <w:r w:rsidR="00AE0F90">
        <w:rPr>
          <w:rFonts w:ascii="Times New Roman" w:hAnsi="Times New Roman" w:cs="Times New Roman"/>
          <w:b/>
          <w:noProof/>
          <w:sz w:val="18"/>
          <w:szCs w:val="18"/>
        </w:rPr>
        <w:drawing>
          <wp:inline distT="0" distB="0" distL="0" distR="0" wp14:anchorId="5091AD3C" wp14:editId="7FAFC157">
            <wp:extent cx="2977116" cy="1857593"/>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80027" cy="1859409"/>
                    </a:xfrm>
                    <a:prstGeom prst="rect">
                      <a:avLst/>
                    </a:prstGeom>
                    <a:noFill/>
                  </pic:spPr>
                </pic:pic>
              </a:graphicData>
            </a:graphic>
          </wp:inline>
        </w:drawing>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Същевременно, делът на </w:t>
      </w:r>
      <w:proofErr w:type="spellStart"/>
      <w:r>
        <w:rPr>
          <w:rFonts w:ascii="Times New Roman" w:hAnsi="Times New Roman" w:cs="Times New Roman"/>
        </w:rPr>
        <w:t>трудоинтензивните</w:t>
      </w:r>
      <w:proofErr w:type="spellEnd"/>
      <w:r>
        <w:rPr>
          <w:rFonts w:ascii="Times New Roman" w:hAnsi="Times New Roman" w:cs="Times New Roman"/>
        </w:rPr>
        <w:t xml:space="preserve"> продукти в общия износ следва ярко изразена тенденция на намаление и кумулативният спад през десетгодишния период достига 4.5 процентни пункта. За сметка на това НИРД-интензивните продукти повишават дела си и към 2017 г. доминират структурата на износа, с тегло от 29.5%. Преструктурирането на стоковата листа на българския износ и повишаването на специализацията в продукти и отрасли, характеризиращи се с по-висока технологична и НИРД интензивност (а следователно – и с по-висока добавена стойност) е знаков процес, който – при по-пълно разгръщане – ще позволи заемането на по-добри  и по-престижни позиции в глобалните вериги на стойността (</w:t>
      </w:r>
      <w:r>
        <w:rPr>
          <w:rFonts w:ascii="Times New Roman" w:hAnsi="Times New Roman" w:cs="Times New Roman"/>
          <w:lang w:val="en-US"/>
        </w:rPr>
        <w:t>Global Value Chains)</w:t>
      </w:r>
      <w:r>
        <w:rPr>
          <w:rFonts w:ascii="Times New Roman" w:hAnsi="Times New Roman" w:cs="Times New Roman"/>
        </w:rPr>
        <w:t xml:space="preserve">. До голяма степен протичащият процес е в резултат на самостоятелното развитие на частния сектор в страната. Евентуална целенасочена и добре фокусирана правителствена подкрепа, стъпвайки на изградената в последните години стратегическа рамка, в т.ч. </w:t>
      </w:r>
      <w:r w:rsidRPr="00BE2C14">
        <w:rPr>
          <w:rFonts w:ascii="Times New Roman" w:hAnsi="Times New Roman" w:cs="Times New Roman"/>
        </w:rPr>
        <w:t>Иновационна</w:t>
      </w:r>
      <w:r>
        <w:rPr>
          <w:rFonts w:ascii="Times New Roman" w:hAnsi="Times New Roman" w:cs="Times New Roman"/>
        </w:rPr>
        <w:t>та</w:t>
      </w:r>
      <w:r w:rsidRPr="00BE2C14">
        <w:rPr>
          <w:rFonts w:ascii="Times New Roman" w:hAnsi="Times New Roman" w:cs="Times New Roman"/>
        </w:rPr>
        <w:t xml:space="preserve"> стратегия за интелигентна специализация на Република България 2014-2020 г.</w:t>
      </w:r>
      <w:r>
        <w:rPr>
          <w:rFonts w:ascii="Times New Roman" w:hAnsi="Times New Roman" w:cs="Times New Roman"/>
        </w:rPr>
        <w:t>, притежава потенциала да ускори значително този процес.</w:t>
      </w:r>
    </w:p>
    <w:p w:rsidR="00AE0F90" w:rsidRPr="00983025" w:rsidRDefault="00AE0F90" w:rsidP="00AE0F90">
      <w:pPr>
        <w:pStyle w:val="Heading3"/>
        <w:numPr>
          <w:ilvl w:val="2"/>
          <w:numId w:val="16"/>
        </w:numPr>
        <w:rPr>
          <w:color w:val="1F497D"/>
        </w:rPr>
      </w:pPr>
      <w:bookmarkStart w:id="29" w:name="_Toc791815"/>
      <w:r w:rsidRPr="00983025">
        <w:rPr>
          <w:color w:val="1F497D"/>
        </w:rPr>
        <w:t>МСП</w:t>
      </w:r>
      <w:bookmarkEnd w:id="29"/>
    </w:p>
    <w:p w:rsidR="00AE0F90" w:rsidRPr="0038543D" w:rsidRDefault="00AE0F90" w:rsidP="00AE0F90">
      <w:pPr>
        <w:pStyle w:val="ListParagraph"/>
        <w:spacing w:line="269" w:lineRule="auto"/>
        <w:ind w:left="0" w:firstLine="0"/>
        <w:contextualSpacing w:val="0"/>
        <w:jc w:val="both"/>
        <w:rPr>
          <w:rFonts w:ascii="Times New Roman" w:hAnsi="Times New Roman" w:cs="Times New Roman"/>
          <w:i/>
        </w:rPr>
      </w:pPr>
      <w:r w:rsidRPr="0038543D">
        <w:rPr>
          <w:rFonts w:ascii="Times New Roman" w:hAnsi="Times New Roman" w:cs="Times New Roman"/>
          <w:i/>
        </w:rPr>
        <w:t>Секторът на малките и средни предприятия увеличава присъствието си в заетостта и реализираните обороти</w:t>
      </w:r>
      <w:r>
        <w:rPr>
          <w:rFonts w:ascii="Times New Roman" w:hAnsi="Times New Roman" w:cs="Times New Roman"/>
          <w:i/>
        </w:rPr>
        <w:t>, но все още не възстановява нивото на инвестиционна активност  от годините преди кризата.</w:t>
      </w:r>
      <w:r w:rsidRPr="0038543D">
        <w:t xml:space="preserve"> </w:t>
      </w:r>
      <w:r w:rsidRPr="0038543D">
        <w:rPr>
          <w:rFonts w:ascii="Times New Roman" w:hAnsi="Times New Roman" w:cs="Times New Roman"/>
          <w:i/>
        </w:rPr>
        <w:t>Достъпът до финансиране за сектора се подобрява значително</w:t>
      </w:r>
      <w:r>
        <w:rPr>
          <w:rFonts w:ascii="Times New Roman" w:hAnsi="Times New Roman" w:cs="Times New Roman"/>
          <w:i/>
        </w:rPr>
        <w:t xml:space="preserve"> – главно по линия на банковото кредитиране и – в по-малка степен – капиталовото финансиране, докато рисковото финансиране остава неразвито. Основни пречки пред по-бурното развитие на сектора са слабата иновационна активност, недостига на квалифицирани кадри и предприемачески умения и ниската степен на интернационализация на дейността.</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395B9C">
        <w:rPr>
          <w:rFonts w:ascii="Times New Roman" w:hAnsi="Times New Roman" w:cs="Times New Roman"/>
        </w:rPr>
        <w:t>Малките и средни предприятия</w:t>
      </w:r>
      <w:r>
        <w:rPr>
          <w:rFonts w:ascii="Times New Roman" w:hAnsi="Times New Roman" w:cs="Times New Roman"/>
        </w:rPr>
        <w:t xml:space="preserve"> остават гръбнака на икономиката. През периода 2008-2016 г. секторът увеличава допълнително присъствието си както по отношение на общ брой предприятия</w:t>
      </w:r>
      <w:r>
        <w:rPr>
          <w:rStyle w:val="FootnoteReference"/>
          <w:rFonts w:ascii="Times New Roman" w:hAnsi="Times New Roman"/>
        </w:rPr>
        <w:footnoteReference w:id="90"/>
      </w:r>
      <w:r>
        <w:rPr>
          <w:rFonts w:ascii="Times New Roman" w:hAnsi="Times New Roman" w:cs="Times New Roman"/>
        </w:rPr>
        <w:t xml:space="preserve"> (нарастване от 0.1 процентен пункт до 99.8%), така и по отношение на създаваната заетост (нарастване с 0.4 процентни пункта до 74.9%) и реализиран оборот (нарастване с 3.5 процентни пункта до 71.3%). Относителният дял на МСП в структурата на дълготрайните материални активи в икономиката обаче намалява през разглеждания период и достига 60% през 2016 г. (спрямо 63% през 2008 г.), което е симптоматично за нивото на инвестициите в сектора по време на кризата и годините след нея.</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9D1227">
        <w:rPr>
          <w:rFonts w:ascii="Times New Roman" w:eastAsia="Calibri" w:hAnsi="Times New Roman" w:cs="Times New Roman"/>
          <w:b/>
          <w:color w:val="365F91"/>
          <w:lang w:eastAsia="en-US"/>
        </w:rPr>
        <w:t>Достъпът до финансиране</w:t>
      </w:r>
      <w:r>
        <w:rPr>
          <w:rFonts w:ascii="Times New Roman" w:hAnsi="Times New Roman" w:cs="Times New Roman"/>
        </w:rPr>
        <w:t xml:space="preserve"> за сектора се подобрява значително през периода. Според проучването на Европейската централна банка </w:t>
      </w:r>
      <w:r w:rsidRPr="00846A28">
        <w:rPr>
          <w:rFonts w:ascii="Times New Roman" w:hAnsi="Times New Roman" w:cs="Times New Roman"/>
          <w:i/>
          <w:lang w:val="en-US"/>
        </w:rPr>
        <w:t>SAFE</w:t>
      </w:r>
      <w:r>
        <w:rPr>
          <w:rFonts w:ascii="Times New Roman" w:hAnsi="Times New Roman" w:cs="Times New Roman"/>
        </w:rPr>
        <w:t xml:space="preserve">, през 2017 г. само 7% от МСП в страната смятат финансирането за най-важния проблем, пред който са изправени, което е почти двойно намаление спрямо ситуацията през 2008 г. и същевременно е сравнимо с средното равнище в ЕС. Данните от </w:t>
      </w:r>
      <w:r w:rsidRPr="004940DE">
        <w:rPr>
          <w:rFonts w:ascii="Times New Roman" w:hAnsi="Times New Roman" w:cs="Times New Roman"/>
          <w:i/>
        </w:rPr>
        <w:t xml:space="preserve">2017 </w:t>
      </w:r>
      <w:r w:rsidRPr="004940DE">
        <w:rPr>
          <w:rFonts w:ascii="Times New Roman" w:hAnsi="Times New Roman" w:cs="Times New Roman"/>
          <w:i/>
          <w:lang w:val="en-US"/>
        </w:rPr>
        <w:t>SBA Fact Sheet</w:t>
      </w:r>
      <w:r>
        <w:rPr>
          <w:rFonts w:ascii="Times New Roman" w:hAnsi="Times New Roman" w:cs="Times New Roman"/>
          <w:lang w:val="en-US"/>
        </w:rPr>
        <w:t xml:space="preserve"> </w:t>
      </w:r>
      <w:r>
        <w:rPr>
          <w:rFonts w:ascii="Times New Roman" w:hAnsi="Times New Roman" w:cs="Times New Roman"/>
        </w:rPr>
        <w:t xml:space="preserve">на </w:t>
      </w:r>
      <w:r>
        <w:rPr>
          <w:rFonts w:ascii="Times New Roman" w:hAnsi="Times New Roman" w:cs="Times New Roman"/>
        </w:rPr>
        <w:lastRenderedPageBreak/>
        <w:t>ЕК показват, че достъпът на МСП до банков заем в страната е по-лесен, отколкото средно в ЕС – едва 6.9% от кандидатствалите за заем МСП в страната са получили отказ или неприемливи условия, докато съответният процент в ЕС е 8.6%.</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103E26">
        <w:rPr>
          <w:rFonts w:ascii="Times New Roman" w:hAnsi="Times New Roman" w:cs="Times New Roman"/>
        </w:rPr>
        <w:t>До известна степен наблюдаваното подобрение по отношение на достъпа до кредитен ресурс през последните години се дължи</w:t>
      </w:r>
      <w:r>
        <w:rPr>
          <w:rFonts w:ascii="Times New Roman" w:hAnsi="Times New Roman" w:cs="Times New Roman"/>
        </w:rPr>
        <w:t xml:space="preserve"> на фазата на икономическия цикъл, но в по-голяма</w:t>
      </w:r>
      <w:r w:rsidRPr="00103E26">
        <w:rPr>
          <w:rFonts w:ascii="Times New Roman" w:hAnsi="Times New Roman" w:cs="Times New Roman"/>
        </w:rPr>
        <w:t xml:space="preserve"> степен </w:t>
      </w:r>
      <w:r>
        <w:rPr>
          <w:rFonts w:ascii="Times New Roman" w:hAnsi="Times New Roman" w:cs="Times New Roman"/>
        </w:rPr>
        <w:t>е резултат от финансовите инструменти, създадени с безвъзмездна подкрепа по европейските структурни и инвестиционни фондове, както и от предоставените гаранции по Плана за инвестиции за Европа по кредитни споразумения на местните финансови посредници с Европейската инвестиционна банка.</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Достъпът до капиталово финансиране също се подобрява, като съответният индикатор в </w:t>
      </w:r>
      <w:r w:rsidRPr="00103E26">
        <w:rPr>
          <w:rFonts w:ascii="Times New Roman" w:hAnsi="Times New Roman" w:cs="Times New Roman"/>
          <w:i/>
        </w:rPr>
        <w:t xml:space="preserve">2017 SBA </w:t>
      </w:r>
      <w:proofErr w:type="spellStart"/>
      <w:r w:rsidRPr="00103E26">
        <w:rPr>
          <w:rFonts w:ascii="Times New Roman" w:hAnsi="Times New Roman" w:cs="Times New Roman"/>
          <w:i/>
        </w:rPr>
        <w:t>Fact</w:t>
      </w:r>
      <w:proofErr w:type="spellEnd"/>
      <w:r w:rsidRPr="00103E26">
        <w:rPr>
          <w:rFonts w:ascii="Times New Roman" w:hAnsi="Times New Roman" w:cs="Times New Roman"/>
          <w:i/>
        </w:rPr>
        <w:t xml:space="preserve"> </w:t>
      </w:r>
      <w:proofErr w:type="spellStart"/>
      <w:r w:rsidRPr="00103E26">
        <w:rPr>
          <w:rFonts w:ascii="Times New Roman" w:hAnsi="Times New Roman" w:cs="Times New Roman"/>
          <w:i/>
        </w:rPr>
        <w:t>Sheet</w:t>
      </w:r>
      <w:proofErr w:type="spellEnd"/>
      <w:r>
        <w:rPr>
          <w:rFonts w:ascii="Times New Roman" w:hAnsi="Times New Roman" w:cs="Times New Roman"/>
        </w:rPr>
        <w:t xml:space="preserve"> показва по-лесен достъп да такова финансиране за МСП в страната, отколкото средно в ЕС. За сметка на това, финансирането чрез рисков капитал и бизнес ангели в страната остава неразвито при допълнително изоставане през разглеждания период, а е</w:t>
      </w:r>
      <w:r w:rsidRPr="004C1B09">
        <w:rPr>
          <w:rFonts w:ascii="Times New Roman" w:hAnsi="Times New Roman" w:cs="Times New Roman"/>
        </w:rPr>
        <w:t>косистемата за стартиращи предприятия продължава да бъде силно зависима от публичното подпомагане.</w:t>
      </w:r>
    </w:p>
    <w:p w:rsidR="00AE0F90" w:rsidRPr="00DC4A4B"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t xml:space="preserve">Графика </w:t>
      </w:r>
      <w:r w:rsidR="00227FC6">
        <w:rPr>
          <w:rFonts w:ascii="Times New Roman" w:hAnsi="Times New Roman" w:cs="Times New Roman"/>
          <w:b/>
          <w:sz w:val="18"/>
          <w:szCs w:val="18"/>
        </w:rPr>
        <w:t xml:space="preserve">12. </w:t>
      </w:r>
      <w:r>
        <w:rPr>
          <w:rFonts w:ascii="Times New Roman" w:hAnsi="Times New Roman" w:cs="Times New Roman"/>
          <w:b/>
          <w:sz w:val="18"/>
          <w:szCs w:val="18"/>
        </w:rPr>
        <w:t>Иновативна дейност на МСП в България, избрани държави-членки и ЕС</w:t>
      </w:r>
    </w:p>
    <w:p w:rsidR="00AE0F90" w:rsidRPr="008218A9" w:rsidRDefault="00AE0F90" w:rsidP="00AE0F90">
      <w:pPr>
        <w:pStyle w:val="ListParagraph"/>
        <w:spacing w:line="269" w:lineRule="auto"/>
        <w:ind w:left="0" w:firstLine="0"/>
        <w:contextualSpacing w:val="0"/>
        <w:jc w:val="both"/>
        <w:rPr>
          <w:rFonts w:ascii="Times New Roman" w:hAnsi="Times New Roman" w:cs="Times New Roman"/>
          <w:highlight w:val="yellow"/>
        </w:rPr>
      </w:pPr>
      <w:r>
        <w:rPr>
          <w:rFonts w:ascii="Times New Roman" w:hAnsi="Times New Roman" w:cs="Times New Roman"/>
          <w:noProof/>
        </w:rPr>
        <w:drawing>
          <wp:anchor distT="0" distB="0" distL="114300" distR="114300" simplePos="0" relativeHeight="251658752" behindDoc="0" locked="0" layoutInCell="1" allowOverlap="1" wp14:anchorId="1499320D" wp14:editId="5421D18C">
            <wp:simplePos x="0" y="0"/>
            <wp:positionH relativeFrom="column">
              <wp:posOffset>3032760</wp:posOffset>
            </wp:positionH>
            <wp:positionV relativeFrom="paragraph">
              <wp:posOffset>71120</wp:posOffset>
            </wp:positionV>
            <wp:extent cx="3076575" cy="2044065"/>
            <wp:effectExtent l="0" t="0" r="952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76575" cy="2044065"/>
                    </a:xfrm>
                    <a:prstGeom prst="rect">
                      <a:avLst/>
                    </a:prstGeom>
                    <a:noFill/>
                  </pic:spPr>
                </pic:pic>
              </a:graphicData>
            </a:graphic>
            <wp14:sizeRelH relativeFrom="page">
              <wp14:pctWidth>0</wp14:pctWidth>
            </wp14:sizeRelH>
            <wp14:sizeRelV relativeFrom="page">
              <wp14:pctHeight>0</wp14:pctHeight>
            </wp14:sizeRelV>
          </wp:anchor>
        </w:drawing>
      </w:r>
      <w:r w:rsidRPr="00811EB7">
        <w:rPr>
          <w:rFonts w:ascii="Times New Roman" w:hAnsi="Times New Roman" w:cs="Times New Roman"/>
        </w:rPr>
        <w:t xml:space="preserve">МСП в страната участват с повече от 55% </w:t>
      </w:r>
      <w:r>
        <w:rPr>
          <w:rFonts w:ascii="Times New Roman" w:hAnsi="Times New Roman" w:cs="Times New Roman"/>
        </w:rPr>
        <w:t>при</w:t>
      </w:r>
      <w:r w:rsidRPr="00811EB7">
        <w:rPr>
          <w:rFonts w:ascii="Times New Roman" w:hAnsi="Times New Roman" w:cs="Times New Roman"/>
        </w:rPr>
        <w:t xml:space="preserve"> формирането на разходите на частния сектор за </w:t>
      </w:r>
      <w:r w:rsidRPr="009D1227">
        <w:rPr>
          <w:rFonts w:ascii="Times New Roman" w:eastAsia="Calibri" w:hAnsi="Times New Roman" w:cs="Times New Roman"/>
          <w:b/>
          <w:color w:val="365F91"/>
          <w:lang w:eastAsia="en-US"/>
        </w:rPr>
        <w:t>НИРД</w:t>
      </w:r>
      <w:r w:rsidRPr="00811EB7">
        <w:rPr>
          <w:rFonts w:ascii="Times New Roman" w:hAnsi="Times New Roman" w:cs="Times New Roman"/>
        </w:rPr>
        <w:t xml:space="preserve"> през 2017 г. По данни на </w:t>
      </w:r>
      <w:r w:rsidRPr="00FC3BF3">
        <w:rPr>
          <w:rFonts w:ascii="Times New Roman" w:hAnsi="Times New Roman" w:cs="Times New Roman"/>
          <w:i/>
        </w:rPr>
        <w:t>Европейския иновационен индекс 2018</w:t>
      </w:r>
      <w:r>
        <w:rPr>
          <w:rFonts w:ascii="Times New Roman" w:hAnsi="Times New Roman" w:cs="Times New Roman"/>
        </w:rPr>
        <w:t xml:space="preserve"> обаче едва </w:t>
      </w:r>
      <w:r w:rsidRPr="00C81BA6">
        <w:rPr>
          <w:rFonts w:ascii="Times New Roman" w:hAnsi="Times New Roman" w:cs="Times New Roman"/>
        </w:rPr>
        <w:t>14% от тях са въвели нови или усъвършенствани продукти за пазара, 14.8% са реализирали маркетингови или организационни иновации, около 11% са въвели вътрешнофирмена иновация и 3% са реализирали иновационно сътрудничество.</w:t>
      </w:r>
      <w:r>
        <w:rPr>
          <w:rFonts w:ascii="Times New Roman" w:hAnsi="Times New Roman" w:cs="Times New Roman"/>
        </w:rPr>
        <w:t xml:space="preserve"> При това по всички тези аспекти се наблюдава устойчива тенденция на намаление през последните десет години, а изоставането спрямо ЕС </w:t>
      </w:r>
      <w:r w:rsidRPr="00C81BA6">
        <w:rPr>
          <w:rFonts w:ascii="Times New Roman" w:hAnsi="Times New Roman" w:cs="Times New Roman"/>
        </w:rPr>
        <w:t xml:space="preserve"> </w:t>
      </w:r>
      <w:r>
        <w:rPr>
          <w:rFonts w:ascii="Times New Roman" w:hAnsi="Times New Roman" w:cs="Times New Roman"/>
        </w:rPr>
        <w:t xml:space="preserve">продължава да нараства и варира между 2.5 и 3.5 пъти по отделните иновационни дейности. </w:t>
      </w:r>
      <w:r w:rsidRPr="00C81BA6">
        <w:rPr>
          <w:rFonts w:ascii="Times New Roman" w:hAnsi="Times New Roman" w:cs="Times New Roman"/>
        </w:rPr>
        <w:t xml:space="preserve">Българските малки и средни предприятия до голяма степен въвеждат иновации, свързани с намаляване на разходите и много по-малко такива, свързани с нови продукти и процеси. </w:t>
      </w:r>
      <w:r>
        <w:rPr>
          <w:rFonts w:ascii="Times New Roman" w:hAnsi="Times New Roman" w:cs="Times New Roman"/>
        </w:rPr>
        <w:t xml:space="preserve">Сред </w:t>
      </w:r>
      <w:r w:rsidRPr="00C81BA6">
        <w:rPr>
          <w:rFonts w:ascii="Times New Roman" w:hAnsi="Times New Roman" w:cs="Times New Roman"/>
        </w:rPr>
        <w:t xml:space="preserve">малко срещаните иновационни дейности са </w:t>
      </w:r>
      <w:r>
        <w:rPr>
          <w:rFonts w:ascii="Times New Roman" w:hAnsi="Times New Roman" w:cs="Times New Roman"/>
        </w:rPr>
        <w:t xml:space="preserve">и </w:t>
      </w:r>
      <w:r w:rsidRPr="00C81BA6">
        <w:rPr>
          <w:rFonts w:ascii="Times New Roman" w:hAnsi="Times New Roman" w:cs="Times New Roman"/>
        </w:rPr>
        <w:t xml:space="preserve">тези, свързани с реализирането на съвместни проекти в образованието между бизнеса и академичните среди – </w:t>
      </w:r>
      <w:r>
        <w:rPr>
          <w:rFonts w:ascii="Times New Roman" w:hAnsi="Times New Roman" w:cs="Times New Roman"/>
        </w:rPr>
        <w:t xml:space="preserve">по данни на Министерството на икономиката, </w:t>
      </w:r>
      <w:r w:rsidRPr="00C81BA6">
        <w:rPr>
          <w:rFonts w:ascii="Times New Roman" w:hAnsi="Times New Roman" w:cs="Times New Roman"/>
        </w:rPr>
        <w:t>само около 9% от МСП са участвали в такива проекти.</w:t>
      </w:r>
      <w:r>
        <w:rPr>
          <w:rFonts w:ascii="Times New Roman" w:hAnsi="Times New Roman" w:cs="Times New Roman"/>
        </w:rPr>
        <w:t xml:space="preserve"> </w:t>
      </w:r>
      <w:r w:rsidRPr="00FC3BF3">
        <w:rPr>
          <w:rFonts w:ascii="Times New Roman" w:hAnsi="Times New Roman" w:cs="Times New Roman"/>
        </w:rPr>
        <w:t>МСП трудно отделят средства за научни изследвания, не разполагат със собствени технологии и възможности за разработване на иновации с решаващо значение за отделни отрасли или група отрасли, и това води до наличието на слаби връзки между научните изследвания и нуждите на производствения сектор.</w:t>
      </w:r>
      <w:r>
        <w:rPr>
          <w:rFonts w:ascii="Times New Roman" w:hAnsi="Times New Roman" w:cs="Times New Roman"/>
        </w:rPr>
        <w:t xml:space="preserve"> </w:t>
      </w:r>
      <w:r w:rsidRPr="00AF338E">
        <w:rPr>
          <w:rFonts w:ascii="Times New Roman" w:hAnsi="Times New Roman" w:cs="Times New Roman"/>
        </w:rPr>
        <w:t>Стратегията за интелигентна специализация на Република България 2014-2020 г. издига като една от основните цели на политиката премахването на пречките пред МСП в стремежа им към иновативност.</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0706EB">
        <w:rPr>
          <w:rFonts w:ascii="Times New Roman" w:hAnsi="Times New Roman" w:cs="Times New Roman"/>
        </w:rPr>
        <w:t xml:space="preserve">Според </w:t>
      </w:r>
      <w:r w:rsidRPr="00172D4B">
        <w:rPr>
          <w:rFonts w:ascii="Times New Roman" w:hAnsi="Times New Roman" w:cs="Times New Roman"/>
          <w:i/>
        </w:rPr>
        <w:t>Националния доклад за предприемачеството в България 2016/2017</w:t>
      </w:r>
      <w:r>
        <w:rPr>
          <w:rFonts w:ascii="Times New Roman" w:hAnsi="Times New Roman" w:cs="Times New Roman"/>
        </w:rPr>
        <w:t xml:space="preserve"> на </w:t>
      </w:r>
      <w:proofErr w:type="spellStart"/>
      <w:r w:rsidRPr="00172D4B">
        <w:rPr>
          <w:rFonts w:ascii="Times New Roman" w:hAnsi="Times New Roman" w:cs="Times New Roman"/>
        </w:rPr>
        <w:t>Global</w:t>
      </w:r>
      <w:proofErr w:type="spellEnd"/>
      <w:r w:rsidRPr="00172D4B">
        <w:rPr>
          <w:rFonts w:ascii="Times New Roman" w:hAnsi="Times New Roman" w:cs="Times New Roman"/>
        </w:rPr>
        <w:t xml:space="preserve"> </w:t>
      </w:r>
      <w:proofErr w:type="spellStart"/>
      <w:r w:rsidRPr="00172D4B">
        <w:rPr>
          <w:rFonts w:ascii="Times New Roman" w:hAnsi="Times New Roman" w:cs="Times New Roman"/>
        </w:rPr>
        <w:t>Entrepreneurship</w:t>
      </w:r>
      <w:proofErr w:type="spellEnd"/>
      <w:r w:rsidRPr="00172D4B">
        <w:rPr>
          <w:rFonts w:ascii="Times New Roman" w:hAnsi="Times New Roman" w:cs="Times New Roman"/>
        </w:rPr>
        <w:t xml:space="preserve"> </w:t>
      </w:r>
      <w:proofErr w:type="spellStart"/>
      <w:r w:rsidRPr="00172D4B">
        <w:rPr>
          <w:rFonts w:ascii="Times New Roman" w:hAnsi="Times New Roman" w:cs="Times New Roman"/>
        </w:rPr>
        <w:t>Monitor</w:t>
      </w:r>
      <w:proofErr w:type="spellEnd"/>
      <w:r>
        <w:rPr>
          <w:rFonts w:ascii="Times New Roman" w:hAnsi="Times New Roman" w:cs="Times New Roman"/>
        </w:rPr>
        <w:t>, една от н</w:t>
      </w:r>
      <w:r w:rsidRPr="000706EB">
        <w:rPr>
          <w:rFonts w:ascii="Times New Roman" w:hAnsi="Times New Roman" w:cs="Times New Roman"/>
        </w:rPr>
        <w:t>ай-</w:t>
      </w:r>
      <w:r>
        <w:rPr>
          <w:rFonts w:ascii="Times New Roman" w:hAnsi="Times New Roman" w:cs="Times New Roman"/>
        </w:rPr>
        <w:t xml:space="preserve">съществените слабости на МСП сектора в страната </w:t>
      </w:r>
      <w:r w:rsidRPr="000706EB">
        <w:rPr>
          <w:rFonts w:ascii="Times New Roman" w:hAnsi="Times New Roman" w:cs="Times New Roman"/>
        </w:rPr>
        <w:t>с</w:t>
      </w:r>
      <w:r>
        <w:rPr>
          <w:rFonts w:ascii="Times New Roman" w:hAnsi="Times New Roman" w:cs="Times New Roman"/>
        </w:rPr>
        <w:t xml:space="preserve">е свързва с недостатъчните </w:t>
      </w:r>
      <w:r w:rsidRPr="00A06908">
        <w:rPr>
          <w:rFonts w:ascii="Times New Roman" w:eastAsia="Calibri" w:hAnsi="Times New Roman" w:cs="Times New Roman"/>
          <w:b/>
          <w:color w:val="365F91"/>
          <w:lang w:eastAsia="en-US"/>
        </w:rPr>
        <w:t>предприемачески умения</w:t>
      </w:r>
      <w:r>
        <w:rPr>
          <w:rFonts w:ascii="Times New Roman" w:hAnsi="Times New Roman" w:cs="Times New Roman"/>
        </w:rPr>
        <w:t xml:space="preserve"> поради ниското качество на</w:t>
      </w:r>
      <w:r w:rsidRPr="000706EB">
        <w:rPr>
          <w:rFonts w:ascii="Times New Roman" w:hAnsi="Times New Roman" w:cs="Times New Roman"/>
        </w:rPr>
        <w:t xml:space="preserve"> предприемаческото</w:t>
      </w:r>
      <w:r>
        <w:rPr>
          <w:rFonts w:ascii="Times New Roman" w:hAnsi="Times New Roman" w:cs="Times New Roman"/>
        </w:rPr>
        <w:t xml:space="preserve"> </w:t>
      </w:r>
      <w:r w:rsidRPr="000706EB">
        <w:rPr>
          <w:rFonts w:ascii="Times New Roman" w:hAnsi="Times New Roman" w:cs="Times New Roman"/>
        </w:rPr>
        <w:t>образование в основните и</w:t>
      </w:r>
      <w:r>
        <w:rPr>
          <w:rFonts w:ascii="Times New Roman" w:hAnsi="Times New Roman" w:cs="Times New Roman"/>
        </w:rPr>
        <w:t xml:space="preserve"> средните училища</w:t>
      </w:r>
      <w:r w:rsidRPr="000706EB">
        <w:rPr>
          <w:rFonts w:ascii="Times New Roman" w:hAnsi="Times New Roman" w:cs="Times New Roman"/>
        </w:rPr>
        <w:t>.</w:t>
      </w:r>
      <w:r>
        <w:rPr>
          <w:rFonts w:ascii="Times New Roman" w:hAnsi="Times New Roman" w:cs="Times New Roman"/>
        </w:rPr>
        <w:t xml:space="preserve"> </w:t>
      </w:r>
      <w:r w:rsidRPr="00172D4B">
        <w:rPr>
          <w:rFonts w:ascii="Times New Roman" w:hAnsi="Times New Roman" w:cs="Times New Roman"/>
        </w:rPr>
        <w:t>Включването на часове по предприемачество в задължителните учебни програми на училищата през учебната 2016/2017 година е стъпка в правилната посока, но липсата на адекватна подготовка и опит в областта при повечето учители не позволява разгръщането на нейния потенциал.</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През последните десет години се регистрира известно намаление на относителния дял на отрасъла на търговията в разпределението на МСП по икономически дейности, но към 2016 г. той остава двойно по-висок от наблюдавания средно за ЕС, като все още повече от 1/3 (35.3%) от МСП в страната са </w:t>
      </w:r>
      <w:r>
        <w:rPr>
          <w:rFonts w:ascii="Times New Roman" w:hAnsi="Times New Roman" w:cs="Times New Roman"/>
        </w:rPr>
        <w:lastRenderedPageBreak/>
        <w:t xml:space="preserve">концентрирани в този отрасъл (спрямо 39.9% през 2008 г.). </w:t>
      </w:r>
      <w:r w:rsidRPr="000657C4">
        <w:rPr>
          <w:rFonts w:ascii="Times New Roman" w:hAnsi="Times New Roman" w:cs="Times New Roman"/>
        </w:rPr>
        <w:t>България има по-малък дял на прохождащи предприятия в начална фаза, ориентирани към интензивни на знания сектори, в сравнение с ЕС, което до голяма степен се обяснява с недостига на умения, необходими за индустрии, базирани на знанието</w:t>
      </w:r>
      <w:r w:rsidRPr="000657C4">
        <w:rPr>
          <w:rStyle w:val="FootnoteReference"/>
          <w:rFonts w:ascii="Times New Roman" w:hAnsi="Times New Roman"/>
        </w:rPr>
        <w:footnoteReference w:id="91"/>
      </w:r>
      <w:r w:rsidRPr="000657C4">
        <w:rPr>
          <w:rFonts w:ascii="Times New Roman" w:hAnsi="Times New Roman" w:cs="Times New Roman"/>
        </w:rPr>
        <w:t>.</w:t>
      </w:r>
      <w:r>
        <w:rPr>
          <w:rFonts w:ascii="Times New Roman" w:hAnsi="Times New Roman" w:cs="Times New Roman"/>
        </w:rPr>
        <w:t xml:space="preserve"> </w:t>
      </w:r>
      <w:r w:rsidRPr="000657C4">
        <w:rPr>
          <w:rFonts w:ascii="Times New Roman" w:hAnsi="Times New Roman" w:cs="Times New Roman"/>
        </w:rPr>
        <w:t xml:space="preserve">Според проучването на Европейската централна банка </w:t>
      </w:r>
      <w:r w:rsidRPr="000657C4">
        <w:rPr>
          <w:rFonts w:ascii="Times New Roman" w:hAnsi="Times New Roman" w:cs="Times New Roman"/>
          <w:i/>
        </w:rPr>
        <w:t>SAFE</w:t>
      </w:r>
      <w:r w:rsidRPr="000657C4">
        <w:rPr>
          <w:rFonts w:ascii="Times New Roman" w:hAnsi="Times New Roman" w:cs="Times New Roman"/>
        </w:rPr>
        <w:t>, през 2017 г. сред МСП в страната преобладава разбирането, че недостигът на квалифицирани кадри е най-важния</w:t>
      </w:r>
      <w:r>
        <w:rPr>
          <w:rFonts w:ascii="Times New Roman" w:hAnsi="Times New Roman" w:cs="Times New Roman"/>
        </w:rPr>
        <w:t>т</w:t>
      </w:r>
      <w:r w:rsidRPr="000657C4">
        <w:rPr>
          <w:rFonts w:ascii="Times New Roman" w:hAnsi="Times New Roman" w:cs="Times New Roman"/>
        </w:rPr>
        <w:t xml:space="preserve"> проблем, пред който са изправени. </w:t>
      </w:r>
      <w:r>
        <w:rPr>
          <w:rFonts w:ascii="Times New Roman" w:hAnsi="Times New Roman" w:cs="Times New Roman"/>
        </w:rPr>
        <w:t>Делът на МСП, посочили този проблем достига 27% (спрямо 23% средно за ЕС), при ярко изразена тенденция на нарастване през годините, което се свързва донякъде с изтъняването на пазара на труда, в условия на растяща икономика и заетост, но несъмнено е и резултат от спадащото качество на образователната система в страната и увеличаващият се разрив между търсените и предлаганите умения на трудовия пазар. Въпреки това обаче д</w:t>
      </w:r>
      <w:r w:rsidRPr="00FF038E">
        <w:rPr>
          <w:rFonts w:ascii="Times New Roman" w:hAnsi="Times New Roman" w:cs="Times New Roman"/>
        </w:rPr>
        <w:t>елът на МСП</w:t>
      </w:r>
      <w:r>
        <w:rPr>
          <w:rFonts w:ascii="Times New Roman" w:hAnsi="Times New Roman" w:cs="Times New Roman"/>
        </w:rPr>
        <w:t xml:space="preserve"> в страната</w:t>
      </w:r>
      <w:r w:rsidRPr="00FF038E">
        <w:rPr>
          <w:rFonts w:ascii="Times New Roman" w:hAnsi="Times New Roman" w:cs="Times New Roman"/>
        </w:rPr>
        <w:t>, провеждащи курсове и обучения за заетите си служители</w:t>
      </w:r>
      <w:r>
        <w:rPr>
          <w:rFonts w:ascii="Times New Roman" w:hAnsi="Times New Roman" w:cs="Times New Roman"/>
        </w:rPr>
        <w:t xml:space="preserve"> (31%</w:t>
      </w:r>
      <w:r>
        <w:rPr>
          <w:rStyle w:val="FootnoteReference"/>
          <w:rFonts w:ascii="Times New Roman" w:hAnsi="Times New Roman"/>
        </w:rPr>
        <w:footnoteReference w:id="92"/>
      </w:r>
      <w:r>
        <w:rPr>
          <w:rFonts w:ascii="Times New Roman" w:hAnsi="Times New Roman" w:cs="Times New Roman"/>
        </w:rPr>
        <w:t>),</w:t>
      </w:r>
      <w:r w:rsidRPr="00FF038E">
        <w:rPr>
          <w:rFonts w:ascii="Times New Roman" w:hAnsi="Times New Roman" w:cs="Times New Roman"/>
        </w:rPr>
        <w:t xml:space="preserve"> </w:t>
      </w:r>
      <w:r>
        <w:rPr>
          <w:rFonts w:ascii="Times New Roman" w:hAnsi="Times New Roman" w:cs="Times New Roman"/>
        </w:rPr>
        <w:t xml:space="preserve">изостава повече от двойно от </w:t>
      </w:r>
      <w:r w:rsidRPr="00FF038E">
        <w:rPr>
          <w:rFonts w:ascii="Times New Roman" w:hAnsi="Times New Roman" w:cs="Times New Roman"/>
        </w:rPr>
        <w:t>средния за ЕС</w:t>
      </w:r>
      <w:r>
        <w:rPr>
          <w:rFonts w:ascii="Times New Roman" w:hAnsi="Times New Roman" w:cs="Times New Roman"/>
        </w:rPr>
        <w:t xml:space="preserve"> (66%), а процентът на предприятията</w:t>
      </w:r>
      <w:r w:rsidRPr="000706EB">
        <w:rPr>
          <w:rFonts w:ascii="Times New Roman" w:hAnsi="Times New Roman" w:cs="Times New Roman"/>
        </w:rPr>
        <w:t>, пр</w:t>
      </w:r>
      <w:r>
        <w:rPr>
          <w:rFonts w:ascii="Times New Roman" w:hAnsi="Times New Roman" w:cs="Times New Roman"/>
        </w:rPr>
        <w:t xml:space="preserve">едоставящи  </w:t>
      </w:r>
      <w:r w:rsidRPr="000706EB">
        <w:rPr>
          <w:rFonts w:ascii="Times New Roman" w:hAnsi="Times New Roman" w:cs="Times New Roman"/>
        </w:rPr>
        <w:t xml:space="preserve">обучения </w:t>
      </w:r>
      <w:r>
        <w:rPr>
          <w:rFonts w:ascii="Times New Roman" w:hAnsi="Times New Roman" w:cs="Times New Roman"/>
        </w:rPr>
        <w:t xml:space="preserve">по ИКТ </w:t>
      </w:r>
      <w:r w:rsidRPr="000706EB">
        <w:rPr>
          <w:rFonts w:ascii="Times New Roman" w:hAnsi="Times New Roman" w:cs="Times New Roman"/>
        </w:rPr>
        <w:t xml:space="preserve">за </w:t>
      </w:r>
      <w:r>
        <w:rPr>
          <w:rFonts w:ascii="Times New Roman" w:hAnsi="Times New Roman" w:cs="Times New Roman"/>
        </w:rPr>
        <w:t>работниците</w:t>
      </w:r>
      <w:r w:rsidRPr="000706EB">
        <w:rPr>
          <w:rFonts w:ascii="Times New Roman" w:hAnsi="Times New Roman" w:cs="Times New Roman"/>
        </w:rPr>
        <w:t xml:space="preserve"> </w:t>
      </w:r>
      <w:r>
        <w:rPr>
          <w:rFonts w:ascii="Times New Roman" w:hAnsi="Times New Roman" w:cs="Times New Roman"/>
        </w:rPr>
        <w:t xml:space="preserve">си </w:t>
      </w:r>
      <w:r w:rsidRPr="000706EB">
        <w:rPr>
          <w:rFonts w:ascii="Times New Roman" w:hAnsi="Times New Roman" w:cs="Times New Roman"/>
        </w:rPr>
        <w:t>(</w:t>
      </w:r>
      <w:r>
        <w:rPr>
          <w:rFonts w:ascii="Times New Roman" w:hAnsi="Times New Roman" w:cs="Times New Roman"/>
        </w:rPr>
        <w:t>7.2</w:t>
      </w:r>
      <w:r w:rsidRPr="000706EB">
        <w:rPr>
          <w:rFonts w:ascii="Times New Roman" w:hAnsi="Times New Roman" w:cs="Times New Roman"/>
        </w:rPr>
        <w:t>%), изостава почт</w:t>
      </w:r>
      <w:r>
        <w:rPr>
          <w:rFonts w:ascii="Times New Roman" w:hAnsi="Times New Roman" w:cs="Times New Roman"/>
        </w:rPr>
        <w:t>и</w:t>
      </w:r>
      <w:r w:rsidRPr="000706EB">
        <w:rPr>
          <w:rFonts w:ascii="Times New Roman" w:hAnsi="Times New Roman" w:cs="Times New Roman"/>
        </w:rPr>
        <w:t xml:space="preserve"> </w:t>
      </w:r>
      <w:r>
        <w:rPr>
          <w:rFonts w:ascii="Times New Roman" w:hAnsi="Times New Roman" w:cs="Times New Roman"/>
        </w:rPr>
        <w:t>тр</w:t>
      </w:r>
      <w:r w:rsidRPr="000706EB">
        <w:rPr>
          <w:rFonts w:ascii="Times New Roman" w:hAnsi="Times New Roman" w:cs="Times New Roman"/>
        </w:rPr>
        <w:t>ойно от средния за ЕС (</w:t>
      </w:r>
      <w:r>
        <w:rPr>
          <w:rFonts w:ascii="Times New Roman" w:hAnsi="Times New Roman" w:cs="Times New Roman"/>
        </w:rPr>
        <w:t>20.7</w:t>
      </w:r>
      <w:r w:rsidRPr="000706EB">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Въпреки известно подобрение през последните години, МСП секторът продължава да изостава по </w:t>
      </w:r>
      <w:r w:rsidRPr="00BB3936">
        <w:rPr>
          <w:rFonts w:ascii="Times New Roman" w:eastAsia="Calibri" w:hAnsi="Times New Roman" w:cs="Times New Roman"/>
          <w:b/>
          <w:color w:val="365F91"/>
          <w:lang w:eastAsia="en-US"/>
        </w:rPr>
        <w:t>степен на интернационализация на дейността</w:t>
      </w:r>
      <w:r>
        <w:rPr>
          <w:rFonts w:ascii="Times New Roman" w:hAnsi="Times New Roman" w:cs="Times New Roman"/>
        </w:rPr>
        <w:t xml:space="preserve"> си спрямо средното равнище в ЕС. Относителният дял на предприятията, осъществили износ за ЕС нараства до 7.9%</w:t>
      </w:r>
      <w:r>
        <w:rPr>
          <w:rStyle w:val="FootnoteReference"/>
          <w:rFonts w:ascii="Times New Roman" w:hAnsi="Times New Roman"/>
        </w:rPr>
        <w:footnoteReference w:id="93"/>
      </w:r>
      <w:r>
        <w:rPr>
          <w:rFonts w:ascii="Times New Roman" w:hAnsi="Times New Roman" w:cs="Times New Roman"/>
        </w:rPr>
        <w:t>, а процентът на МСП, извършили внос от ЕС достига 9.9%. Средните стойности за МСП сектора в ЕС възлизат съответно на 10% (износ) и 11.2% (внос). Имайки предвид относително малкия вътрешен пазар на страната, скромната ориентация на българските предприятия към външни пазари е ограничаващ фактор за тяхното интензивно развитие.</w:t>
      </w:r>
    </w:p>
    <w:p w:rsidR="00AE0F90" w:rsidRPr="005E6576" w:rsidRDefault="00AE0F90" w:rsidP="00AE0F90">
      <w:pPr>
        <w:pStyle w:val="Heading3"/>
        <w:numPr>
          <w:ilvl w:val="2"/>
          <w:numId w:val="16"/>
        </w:numPr>
        <w:rPr>
          <w:color w:val="1F497D"/>
        </w:rPr>
      </w:pPr>
      <w:bookmarkStart w:id="30" w:name="_Toc791816"/>
      <w:r w:rsidRPr="005E6576">
        <w:rPr>
          <w:color w:val="1F497D"/>
        </w:rPr>
        <w:t>Селско стопанство</w:t>
      </w:r>
      <w:bookmarkEnd w:id="30"/>
    </w:p>
    <w:p w:rsidR="00AE0F90" w:rsidRPr="00AE2C95" w:rsidRDefault="00AE0F90" w:rsidP="00AE0F90">
      <w:pPr>
        <w:pStyle w:val="ListParagraph"/>
        <w:spacing w:line="269" w:lineRule="auto"/>
        <w:ind w:left="0" w:firstLine="0"/>
        <w:contextualSpacing w:val="0"/>
        <w:jc w:val="both"/>
        <w:rPr>
          <w:rFonts w:ascii="Times New Roman" w:hAnsi="Times New Roman" w:cs="Times New Roman"/>
          <w:i/>
        </w:rPr>
      </w:pPr>
      <w:r w:rsidRPr="002C6AA0">
        <w:rPr>
          <w:rFonts w:ascii="Times New Roman" w:hAnsi="Times New Roman" w:cs="Times New Roman"/>
          <w:i/>
        </w:rPr>
        <w:t>Продължава тенденцията на намаляване на дела на селското стопанство в брутната добавена стойност на страната.</w:t>
      </w:r>
      <w:r>
        <w:rPr>
          <w:rFonts w:ascii="Times New Roman" w:hAnsi="Times New Roman" w:cs="Times New Roman"/>
          <w:i/>
        </w:rPr>
        <w:t xml:space="preserve"> Секторът свива заетите и продукцията си, при </w:t>
      </w:r>
      <w:r w:rsidRPr="002F109A">
        <w:rPr>
          <w:rFonts w:ascii="Times New Roman" w:hAnsi="Times New Roman" w:cs="Times New Roman"/>
          <w:i/>
        </w:rPr>
        <w:t xml:space="preserve">допълнително </w:t>
      </w:r>
      <w:r>
        <w:rPr>
          <w:rFonts w:ascii="Times New Roman" w:hAnsi="Times New Roman" w:cs="Times New Roman"/>
          <w:i/>
        </w:rPr>
        <w:t xml:space="preserve">нарастване на </w:t>
      </w:r>
      <w:r w:rsidRPr="002F109A">
        <w:rPr>
          <w:rFonts w:ascii="Times New Roman" w:hAnsi="Times New Roman" w:cs="Times New Roman"/>
          <w:i/>
        </w:rPr>
        <w:t>изостаналост</w:t>
      </w:r>
      <w:r>
        <w:rPr>
          <w:rFonts w:ascii="Times New Roman" w:hAnsi="Times New Roman" w:cs="Times New Roman"/>
          <w:i/>
        </w:rPr>
        <w:t>та му по отношение на производителността на труда</w:t>
      </w:r>
      <w:r w:rsidRPr="002F109A">
        <w:rPr>
          <w:rFonts w:ascii="Times New Roman" w:hAnsi="Times New Roman" w:cs="Times New Roman"/>
          <w:i/>
        </w:rPr>
        <w:t>.</w:t>
      </w:r>
      <w:r>
        <w:rPr>
          <w:rFonts w:ascii="Times New Roman" w:hAnsi="Times New Roman" w:cs="Times New Roman"/>
          <w:i/>
        </w:rPr>
        <w:t xml:space="preserve"> Селскостопанският износ нараства при неустойчив модел на фона на екстензивно развитие и конюнктурни и ценови предимства, свързани с растежа на субсидиите в сектора. Потенциалът на отрасъла за интензивно развитие остава възпрепятстван от продължаващата </w:t>
      </w:r>
      <w:proofErr w:type="spellStart"/>
      <w:r>
        <w:rPr>
          <w:rFonts w:ascii="Times New Roman" w:hAnsi="Times New Roman" w:cs="Times New Roman"/>
          <w:i/>
        </w:rPr>
        <w:t>доминация</w:t>
      </w:r>
      <w:proofErr w:type="spellEnd"/>
      <w:r>
        <w:rPr>
          <w:rFonts w:ascii="Times New Roman" w:hAnsi="Times New Roman" w:cs="Times New Roman"/>
          <w:i/>
        </w:rPr>
        <w:t xml:space="preserve"> на стопанствата с малък икономически размер (въпреки протичаща тенденция на окрупняване) и изключително н</w:t>
      </w:r>
      <w:r w:rsidRPr="007B2434">
        <w:rPr>
          <w:rFonts w:ascii="Times New Roman" w:hAnsi="Times New Roman" w:cs="Times New Roman"/>
          <w:i/>
        </w:rPr>
        <w:t>иския дял на напояваните земеделски площи</w:t>
      </w:r>
      <w:r>
        <w:rPr>
          <w:rFonts w:ascii="Times New Roman" w:hAnsi="Times New Roman" w:cs="Times New Roman"/>
          <w:i/>
        </w:rPr>
        <w:t>.</w:t>
      </w:r>
      <w:r w:rsidRPr="009772DA">
        <w:t xml:space="preserve"> </w:t>
      </w:r>
      <w:r w:rsidRPr="009772DA">
        <w:rPr>
          <w:rFonts w:ascii="Times New Roman" w:hAnsi="Times New Roman" w:cs="Times New Roman"/>
          <w:i/>
        </w:rPr>
        <w:t xml:space="preserve">България е с най-динамично развиващо се биологично производство в ЕС през последните години, </w:t>
      </w:r>
      <w:r>
        <w:rPr>
          <w:rFonts w:ascii="Times New Roman" w:hAnsi="Times New Roman" w:cs="Times New Roman"/>
          <w:i/>
        </w:rPr>
        <w:t>но п</w:t>
      </w:r>
      <w:r w:rsidRPr="009772DA">
        <w:rPr>
          <w:rFonts w:ascii="Times New Roman" w:hAnsi="Times New Roman" w:cs="Times New Roman"/>
          <w:i/>
        </w:rPr>
        <w:t xml:space="preserve">отенциалът, който </w:t>
      </w:r>
      <w:r>
        <w:rPr>
          <w:rFonts w:ascii="Times New Roman" w:hAnsi="Times New Roman" w:cs="Times New Roman"/>
          <w:i/>
        </w:rPr>
        <w:t xml:space="preserve">секторът </w:t>
      </w:r>
      <w:r w:rsidRPr="009772DA">
        <w:rPr>
          <w:rFonts w:ascii="Times New Roman" w:hAnsi="Times New Roman" w:cs="Times New Roman"/>
          <w:i/>
        </w:rPr>
        <w:t>има, свързан с благоприятни климатични условия и запазени от екологична гледна точка райони, не се валоризира в достатъчна степен.</w:t>
      </w:r>
      <w:r>
        <w:rPr>
          <w:rFonts w:ascii="Times New Roman" w:hAnsi="Times New Roman" w:cs="Times New Roman"/>
          <w:i/>
        </w:rPr>
        <w:t xml:space="preserve"> </w:t>
      </w:r>
      <w:r w:rsidRPr="00AE2C95">
        <w:rPr>
          <w:rFonts w:ascii="Times New Roman" w:hAnsi="Times New Roman" w:cs="Times New Roman"/>
          <w:i/>
        </w:rPr>
        <w:t>Рибно</w:t>
      </w:r>
      <w:r>
        <w:rPr>
          <w:rFonts w:ascii="Times New Roman" w:hAnsi="Times New Roman" w:cs="Times New Roman"/>
          <w:i/>
        </w:rPr>
        <w:t>то</w:t>
      </w:r>
      <w:r w:rsidRPr="00AE2C95">
        <w:rPr>
          <w:rFonts w:ascii="Times New Roman" w:hAnsi="Times New Roman" w:cs="Times New Roman"/>
          <w:i/>
        </w:rPr>
        <w:t xml:space="preserve"> стопанство</w:t>
      </w:r>
      <w:r>
        <w:rPr>
          <w:rFonts w:ascii="Times New Roman" w:hAnsi="Times New Roman" w:cs="Times New Roman"/>
          <w:i/>
        </w:rPr>
        <w:t xml:space="preserve"> на страната</w:t>
      </w:r>
      <w:r w:rsidRPr="00AE2C95">
        <w:rPr>
          <w:rFonts w:ascii="Times New Roman" w:hAnsi="Times New Roman" w:cs="Times New Roman"/>
          <w:i/>
        </w:rPr>
        <w:t xml:space="preserve"> се развива с високи темпове, </w:t>
      </w:r>
      <w:r>
        <w:rPr>
          <w:rFonts w:ascii="Times New Roman" w:hAnsi="Times New Roman" w:cs="Times New Roman"/>
          <w:i/>
        </w:rPr>
        <w:t>позитивно повлияно от</w:t>
      </w:r>
      <w:r w:rsidRPr="00AE2C95">
        <w:rPr>
          <w:rFonts w:ascii="Times New Roman" w:hAnsi="Times New Roman" w:cs="Times New Roman"/>
          <w:i/>
        </w:rPr>
        <w:t xml:space="preserve"> специалн</w:t>
      </w:r>
      <w:r>
        <w:rPr>
          <w:rFonts w:ascii="Times New Roman" w:hAnsi="Times New Roman" w:cs="Times New Roman"/>
          <w:i/>
        </w:rPr>
        <w:t>ия фокус</w:t>
      </w:r>
      <w:r w:rsidRPr="00AE2C95">
        <w:rPr>
          <w:rFonts w:ascii="Times New Roman" w:hAnsi="Times New Roman" w:cs="Times New Roman"/>
          <w:i/>
        </w:rPr>
        <w:t xml:space="preserve"> на политиката и насочването на средства от ЕС. Общото производство </w:t>
      </w:r>
      <w:r>
        <w:rPr>
          <w:rFonts w:ascii="Times New Roman" w:hAnsi="Times New Roman" w:cs="Times New Roman"/>
          <w:i/>
        </w:rPr>
        <w:t xml:space="preserve">и износът </w:t>
      </w:r>
      <w:r w:rsidRPr="00AE2C95">
        <w:rPr>
          <w:rFonts w:ascii="Times New Roman" w:hAnsi="Times New Roman" w:cs="Times New Roman"/>
          <w:i/>
        </w:rPr>
        <w:t xml:space="preserve">на </w:t>
      </w:r>
      <w:proofErr w:type="spellStart"/>
      <w:r w:rsidRPr="00AE2C95">
        <w:rPr>
          <w:rFonts w:ascii="Times New Roman" w:hAnsi="Times New Roman" w:cs="Times New Roman"/>
          <w:i/>
        </w:rPr>
        <w:t>аквакултури</w:t>
      </w:r>
      <w:proofErr w:type="spellEnd"/>
      <w:r w:rsidRPr="00AE2C95">
        <w:rPr>
          <w:rFonts w:ascii="Times New Roman" w:hAnsi="Times New Roman" w:cs="Times New Roman"/>
          <w:i/>
        </w:rPr>
        <w:t xml:space="preserve"> нараства</w:t>
      </w:r>
      <w:r>
        <w:rPr>
          <w:rFonts w:ascii="Times New Roman" w:hAnsi="Times New Roman" w:cs="Times New Roman"/>
          <w:i/>
        </w:rPr>
        <w:t>т чувствително</w:t>
      </w:r>
      <w:r w:rsidRPr="00AE2C95">
        <w:rPr>
          <w:rFonts w:ascii="Times New Roman" w:hAnsi="Times New Roman" w:cs="Times New Roman"/>
          <w:i/>
        </w:rPr>
        <w:t xml:space="preserve">, </w:t>
      </w:r>
      <w:r>
        <w:rPr>
          <w:rFonts w:ascii="Times New Roman" w:hAnsi="Times New Roman" w:cs="Times New Roman"/>
          <w:i/>
        </w:rPr>
        <w:t xml:space="preserve">но </w:t>
      </w:r>
      <w:r w:rsidRPr="00AE2C95">
        <w:rPr>
          <w:rFonts w:ascii="Times New Roman" w:hAnsi="Times New Roman" w:cs="Times New Roman"/>
          <w:i/>
        </w:rPr>
        <w:t>лошо</w:t>
      </w:r>
      <w:r>
        <w:rPr>
          <w:rFonts w:ascii="Times New Roman" w:hAnsi="Times New Roman" w:cs="Times New Roman"/>
          <w:i/>
        </w:rPr>
        <w:t>то</w:t>
      </w:r>
      <w:r w:rsidRPr="00AE2C95">
        <w:rPr>
          <w:rFonts w:ascii="Times New Roman" w:hAnsi="Times New Roman" w:cs="Times New Roman"/>
          <w:i/>
        </w:rPr>
        <w:t xml:space="preserve"> състояние на риболовния флот, ниско</w:t>
      </w:r>
      <w:r>
        <w:rPr>
          <w:rFonts w:ascii="Times New Roman" w:hAnsi="Times New Roman" w:cs="Times New Roman"/>
          <w:i/>
        </w:rPr>
        <w:t>то</w:t>
      </w:r>
      <w:r w:rsidRPr="00AE2C95">
        <w:rPr>
          <w:rFonts w:ascii="Times New Roman" w:hAnsi="Times New Roman" w:cs="Times New Roman"/>
          <w:i/>
        </w:rPr>
        <w:t xml:space="preserve"> качество на рибарската инфраструктура</w:t>
      </w:r>
      <w:r>
        <w:rPr>
          <w:rFonts w:ascii="Times New Roman" w:hAnsi="Times New Roman" w:cs="Times New Roman"/>
          <w:i/>
        </w:rPr>
        <w:t xml:space="preserve"> и</w:t>
      </w:r>
      <w:r w:rsidRPr="00AE2C95">
        <w:rPr>
          <w:rFonts w:ascii="Times New Roman" w:hAnsi="Times New Roman" w:cs="Times New Roman"/>
          <w:i/>
        </w:rPr>
        <w:t xml:space="preserve"> остаряла</w:t>
      </w:r>
      <w:r>
        <w:rPr>
          <w:rFonts w:ascii="Times New Roman" w:hAnsi="Times New Roman" w:cs="Times New Roman"/>
          <w:i/>
        </w:rPr>
        <w:t>та</w:t>
      </w:r>
      <w:r w:rsidRPr="00AE2C95">
        <w:rPr>
          <w:rFonts w:ascii="Times New Roman" w:hAnsi="Times New Roman" w:cs="Times New Roman"/>
          <w:i/>
        </w:rPr>
        <w:t xml:space="preserve"> материално-техническа база в </w:t>
      </w:r>
      <w:proofErr w:type="spellStart"/>
      <w:r w:rsidRPr="00AE2C95">
        <w:rPr>
          <w:rFonts w:ascii="Times New Roman" w:hAnsi="Times New Roman" w:cs="Times New Roman"/>
          <w:i/>
        </w:rPr>
        <w:t>аквакултурните</w:t>
      </w:r>
      <w:proofErr w:type="spellEnd"/>
      <w:r w:rsidRPr="00AE2C95">
        <w:rPr>
          <w:rFonts w:ascii="Times New Roman" w:hAnsi="Times New Roman" w:cs="Times New Roman"/>
          <w:i/>
        </w:rPr>
        <w:t xml:space="preserve"> стопанства </w:t>
      </w:r>
      <w:r>
        <w:rPr>
          <w:rFonts w:ascii="Times New Roman" w:hAnsi="Times New Roman" w:cs="Times New Roman"/>
          <w:i/>
        </w:rPr>
        <w:t>продължават да са пречка пред</w:t>
      </w:r>
      <w:r w:rsidRPr="00AE2C95">
        <w:rPr>
          <w:rFonts w:ascii="Times New Roman" w:hAnsi="Times New Roman" w:cs="Times New Roman"/>
          <w:i/>
        </w:rPr>
        <w:t xml:space="preserve"> и</w:t>
      </w:r>
      <w:r>
        <w:rPr>
          <w:rFonts w:ascii="Times New Roman" w:hAnsi="Times New Roman" w:cs="Times New Roman"/>
          <w:i/>
        </w:rPr>
        <w:t>нтензивното развитие на сектора</w:t>
      </w:r>
      <w:r w:rsidRPr="00AE2C95">
        <w:rPr>
          <w:rFonts w:ascii="Times New Roman" w:hAnsi="Times New Roman" w:cs="Times New Roman"/>
          <w:i/>
        </w:rPr>
        <w:t>.</w:t>
      </w:r>
    </w:p>
    <w:p w:rsidR="00AE0F90" w:rsidRPr="00DC4A4B"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lastRenderedPageBreak/>
        <w:t xml:space="preserve">Графика </w:t>
      </w:r>
      <w:r w:rsidR="00227FC6">
        <w:rPr>
          <w:rFonts w:ascii="Times New Roman" w:hAnsi="Times New Roman" w:cs="Times New Roman"/>
          <w:b/>
          <w:sz w:val="18"/>
          <w:szCs w:val="18"/>
        </w:rPr>
        <w:t xml:space="preserve">13. </w:t>
      </w:r>
      <w:r>
        <w:rPr>
          <w:rFonts w:ascii="Times New Roman" w:hAnsi="Times New Roman" w:cs="Times New Roman"/>
          <w:b/>
          <w:sz w:val="18"/>
          <w:szCs w:val="18"/>
        </w:rPr>
        <w:t xml:space="preserve">Динамика на добавената стойност, заетостта и </w:t>
      </w:r>
      <w:r w:rsidRPr="00DC4A4B">
        <w:rPr>
          <w:rFonts w:ascii="Times New Roman" w:hAnsi="Times New Roman" w:cs="Times New Roman"/>
          <w:b/>
          <w:sz w:val="18"/>
          <w:szCs w:val="18"/>
        </w:rPr>
        <w:t xml:space="preserve">производителността </w:t>
      </w:r>
      <w:r>
        <w:rPr>
          <w:rFonts w:ascii="Times New Roman" w:hAnsi="Times New Roman" w:cs="Times New Roman"/>
          <w:b/>
          <w:sz w:val="18"/>
          <w:szCs w:val="18"/>
        </w:rPr>
        <w:t>в селското стопанство</w:t>
      </w:r>
      <w:r w:rsidRPr="00DC4A4B">
        <w:rPr>
          <w:rFonts w:ascii="Times New Roman" w:hAnsi="Times New Roman" w:cs="Times New Roman"/>
          <w:b/>
          <w:sz w:val="18"/>
          <w:szCs w:val="18"/>
        </w:rPr>
        <w:t>, 20</w:t>
      </w:r>
      <w:r>
        <w:rPr>
          <w:rFonts w:ascii="Times New Roman" w:hAnsi="Times New Roman" w:cs="Times New Roman"/>
          <w:b/>
          <w:sz w:val="18"/>
          <w:szCs w:val="18"/>
        </w:rPr>
        <w:t>08</w:t>
      </w:r>
      <w:r w:rsidRPr="00DC4A4B">
        <w:rPr>
          <w:rFonts w:ascii="Times New Roman" w:hAnsi="Times New Roman" w:cs="Times New Roman"/>
          <w:b/>
          <w:sz w:val="18"/>
          <w:szCs w:val="18"/>
        </w:rPr>
        <w:t xml:space="preserve"> г. = 100</w:t>
      </w:r>
    </w:p>
    <w:p w:rsidR="00AE0F90" w:rsidRPr="005E6576" w:rsidRDefault="00AE0F90" w:rsidP="00AE0F90">
      <w:pPr>
        <w:pStyle w:val="ListParagraph"/>
        <w:spacing w:line="269" w:lineRule="auto"/>
        <w:ind w:left="0" w:firstLine="0"/>
        <w:contextualSpacing w:val="0"/>
        <w:jc w:val="both"/>
        <w:rPr>
          <w:rFonts w:ascii="Times New Roman" w:hAnsi="Times New Roman" w:cs="Times New Roman"/>
          <w:highlight w:val="yellow"/>
        </w:rPr>
      </w:pPr>
      <w:r>
        <w:rPr>
          <w:rFonts w:ascii="Times New Roman" w:hAnsi="Times New Roman" w:cs="Times New Roman"/>
          <w:noProof/>
        </w:rPr>
        <w:drawing>
          <wp:anchor distT="0" distB="0" distL="114300" distR="114300" simplePos="0" relativeHeight="251665920" behindDoc="0" locked="0" layoutInCell="1" allowOverlap="1" wp14:anchorId="3070C3DF" wp14:editId="71171DF2">
            <wp:simplePos x="0" y="0"/>
            <wp:positionH relativeFrom="column">
              <wp:posOffset>2962910</wp:posOffset>
            </wp:positionH>
            <wp:positionV relativeFrom="paragraph">
              <wp:posOffset>61595</wp:posOffset>
            </wp:positionV>
            <wp:extent cx="3155950" cy="1897380"/>
            <wp:effectExtent l="0" t="0" r="6350" b="762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55950" cy="1897380"/>
                    </a:xfrm>
                    <a:prstGeom prst="rect">
                      <a:avLst/>
                    </a:prstGeom>
                    <a:noFill/>
                  </pic:spPr>
                </pic:pic>
              </a:graphicData>
            </a:graphic>
            <wp14:sizeRelH relativeFrom="page">
              <wp14:pctWidth>0</wp14:pctWidth>
            </wp14:sizeRelH>
            <wp14:sizeRelV relativeFrom="page">
              <wp14:pctHeight>0</wp14:pctHeight>
            </wp14:sizeRelV>
          </wp:anchor>
        </w:drawing>
      </w:r>
      <w:r w:rsidRPr="00CC76E2">
        <w:rPr>
          <w:rFonts w:ascii="Times New Roman" w:hAnsi="Times New Roman" w:cs="Times New Roman"/>
        </w:rPr>
        <w:t>В периода 20</w:t>
      </w:r>
      <w:r w:rsidRPr="00CC76E2">
        <w:rPr>
          <w:rFonts w:ascii="Times New Roman" w:hAnsi="Times New Roman" w:cs="Times New Roman"/>
          <w:lang w:val="en-US"/>
        </w:rPr>
        <w:t>08</w:t>
      </w:r>
      <w:r w:rsidRPr="00CC76E2">
        <w:rPr>
          <w:rFonts w:ascii="Times New Roman" w:hAnsi="Times New Roman" w:cs="Times New Roman"/>
        </w:rPr>
        <w:t>-201</w:t>
      </w:r>
      <w:r w:rsidRPr="00CC76E2">
        <w:rPr>
          <w:rFonts w:ascii="Times New Roman" w:hAnsi="Times New Roman" w:cs="Times New Roman"/>
          <w:lang w:val="en-US"/>
        </w:rPr>
        <w:t>7</w:t>
      </w:r>
      <w:r w:rsidRPr="00CC76E2">
        <w:rPr>
          <w:rFonts w:ascii="Times New Roman" w:hAnsi="Times New Roman" w:cs="Times New Roman"/>
        </w:rPr>
        <w:t xml:space="preserve"> г. продължава тенденцията на намаляване на дела на </w:t>
      </w:r>
      <w:r w:rsidRPr="003A29C6">
        <w:rPr>
          <w:rFonts w:ascii="Times New Roman" w:eastAsia="Calibri" w:hAnsi="Times New Roman" w:cs="Times New Roman"/>
          <w:b/>
          <w:color w:val="365F91"/>
          <w:lang w:eastAsia="en-US"/>
        </w:rPr>
        <w:t>селското стопанство</w:t>
      </w:r>
      <w:r w:rsidRPr="00CC76E2">
        <w:rPr>
          <w:rFonts w:ascii="Times New Roman" w:hAnsi="Times New Roman" w:cs="Times New Roman"/>
        </w:rPr>
        <w:t xml:space="preserve"> в брутната добавена стойност на страната, достигайки 4.</w:t>
      </w:r>
      <w:r w:rsidRPr="00CC76E2">
        <w:rPr>
          <w:rFonts w:ascii="Times New Roman" w:hAnsi="Times New Roman" w:cs="Times New Roman"/>
          <w:lang w:val="en-US"/>
        </w:rPr>
        <w:t>3</w:t>
      </w:r>
      <w:r w:rsidRPr="00CC76E2">
        <w:rPr>
          <w:rFonts w:ascii="Times New Roman" w:hAnsi="Times New Roman" w:cs="Times New Roman"/>
        </w:rPr>
        <w:t xml:space="preserve">% в края на периода спрямо </w:t>
      </w:r>
      <w:r w:rsidRPr="00CC76E2">
        <w:rPr>
          <w:rFonts w:ascii="Times New Roman" w:hAnsi="Times New Roman" w:cs="Times New Roman"/>
          <w:lang w:val="en-US"/>
        </w:rPr>
        <w:t>7</w:t>
      </w:r>
      <w:r w:rsidRPr="00CC76E2">
        <w:rPr>
          <w:rFonts w:ascii="Times New Roman" w:hAnsi="Times New Roman" w:cs="Times New Roman"/>
        </w:rPr>
        <w:t>% десет години по-рано. Общо за периода отрасловата групировка регистрира кумулативен реален спад от 17.2% на добавената в нея стойност, сравнено с кумулативния реален растеж от 14.8% общо за добавената в страната стойност, което детерминира свиването на значимостта на селското стопанство в структурата на икономиката. Едновременно с това намалява</w:t>
      </w:r>
      <w:r>
        <w:rPr>
          <w:rFonts w:ascii="Times New Roman" w:hAnsi="Times New Roman" w:cs="Times New Roman"/>
        </w:rPr>
        <w:t>,</w:t>
      </w:r>
      <w:r w:rsidRPr="00CC76E2">
        <w:rPr>
          <w:rFonts w:ascii="Times New Roman" w:hAnsi="Times New Roman" w:cs="Times New Roman"/>
        </w:rPr>
        <w:t xml:space="preserve"> макар и в значително по-малка степен</w:t>
      </w:r>
      <w:r>
        <w:rPr>
          <w:rFonts w:ascii="Times New Roman" w:hAnsi="Times New Roman" w:cs="Times New Roman"/>
        </w:rPr>
        <w:t>,</w:t>
      </w:r>
      <w:r w:rsidRPr="00CC76E2">
        <w:rPr>
          <w:rFonts w:ascii="Times New Roman" w:hAnsi="Times New Roman" w:cs="Times New Roman"/>
        </w:rPr>
        <w:t xml:space="preserve"> и тежестта на сектора във формирането на общата заетост в икономиката – с 0.4 процентни пункта за разглеждания период до 18.9% през 2017 г. </w:t>
      </w:r>
      <w:r w:rsidRPr="00EB3343">
        <w:rPr>
          <w:rFonts w:ascii="Times New Roman" w:hAnsi="Times New Roman" w:cs="Times New Roman"/>
        </w:rPr>
        <w:t>Производителността на труда</w:t>
      </w:r>
      <w:r w:rsidRPr="00EB3343">
        <w:rPr>
          <w:rStyle w:val="FootnoteReference"/>
          <w:rFonts w:ascii="Times New Roman" w:hAnsi="Times New Roman"/>
        </w:rPr>
        <w:footnoteReference w:id="94"/>
      </w:r>
      <w:r w:rsidRPr="00EB3343">
        <w:rPr>
          <w:rFonts w:ascii="Times New Roman" w:hAnsi="Times New Roman" w:cs="Times New Roman"/>
        </w:rPr>
        <w:t xml:space="preserve"> в сектора също отбелязва негативно развитие, с кумулативен спад от 8.3% за периода, докато средната производителност в икономиката нараства с почти ¼. По този начин през последните десет години нараства допълнително относителната изостаналост на селското стопанство, като добавената стойност от един зает в сектора възлиза на 22.9% от средната за икономиката стойност на показателя в края на разглеждания период, сравнено с 36.2% през 2008 г.</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3564A3">
        <w:rPr>
          <w:rFonts w:ascii="Times New Roman" w:hAnsi="Times New Roman" w:cs="Times New Roman"/>
        </w:rPr>
        <w:t>Въпреки негативните развития по отношение на производителността, заетите и добавената стойност, селскостопанският износ нараства с 60.7%</w:t>
      </w:r>
      <w:r w:rsidRPr="003564A3">
        <w:rPr>
          <w:rStyle w:val="FootnoteReference"/>
          <w:rFonts w:ascii="Times New Roman" w:hAnsi="Times New Roman"/>
        </w:rPr>
        <w:footnoteReference w:id="95"/>
      </w:r>
      <w:r w:rsidRPr="003564A3">
        <w:rPr>
          <w:rFonts w:ascii="Times New Roman" w:hAnsi="Times New Roman" w:cs="Times New Roman"/>
        </w:rPr>
        <w:t xml:space="preserve"> в доларово изражение за последните десет години или почти два пъти по-бързо от темпа на нарастване на общия износ на страната. По този начин секторът увеличава присъствието си в структурата на изнасяната продукция от 12.6%</w:t>
      </w:r>
      <w:r w:rsidRPr="003564A3">
        <w:rPr>
          <w:rStyle w:val="FootnoteReference"/>
          <w:rFonts w:ascii="Times New Roman" w:hAnsi="Times New Roman"/>
        </w:rPr>
        <w:footnoteReference w:id="96"/>
      </w:r>
      <w:r w:rsidRPr="003564A3">
        <w:rPr>
          <w:rFonts w:ascii="Times New Roman" w:hAnsi="Times New Roman" w:cs="Times New Roman"/>
        </w:rPr>
        <w:t xml:space="preserve"> през 2008 г. до 15.1% през 2017 г. </w:t>
      </w:r>
      <w:r>
        <w:rPr>
          <w:rFonts w:ascii="Times New Roman" w:hAnsi="Times New Roman" w:cs="Times New Roman"/>
        </w:rPr>
        <w:t>Нарастването на износа обаче не произтича от повишена конкурентоспособност на сектора, а по-скоро се свързва с ръста на получаваните субсидии и конюнктурни фактори. Още повече, че през последните три години се наблюдава и ясно маркирана тенденция на нарастване на дела на непреработените продукти в структурата на селскостопанския износ. Подобно екстензивно развитие не е устойчиво и здравословно за икономиката и изисква преосмисляне и прецизиране на политиката.</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916F93">
        <w:rPr>
          <w:rFonts w:ascii="Times New Roman" w:hAnsi="Times New Roman" w:cs="Times New Roman"/>
        </w:rPr>
        <w:t xml:space="preserve">Продължава тенденцията на намаляване на броя на </w:t>
      </w:r>
      <w:r w:rsidRPr="00916F93">
        <w:rPr>
          <w:rFonts w:ascii="Times New Roman" w:eastAsia="Calibri" w:hAnsi="Times New Roman" w:cs="Times New Roman"/>
          <w:b/>
          <w:color w:val="365F91"/>
          <w:lang w:eastAsia="en-US"/>
        </w:rPr>
        <w:t>земеделските стопанства</w:t>
      </w:r>
      <w:r>
        <w:rPr>
          <w:rStyle w:val="FootnoteReference"/>
          <w:rFonts w:ascii="Times New Roman" w:hAnsi="Times New Roman" w:cs="Times New Roman"/>
        </w:rPr>
        <w:footnoteReference w:id="97"/>
      </w:r>
      <w:r w:rsidRPr="00E050D1">
        <w:rPr>
          <w:rFonts w:ascii="Times New Roman" w:hAnsi="Times New Roman" w:cs="Times New Roman"/>
        </w:rPr>
        <w:t xml:space="preserve">. </w:t>
      </w:r>
      <w:r>
        <w:rPr>
          <w:rFonts w:ascii="Times New Roman" w:hAnsi="Times New Roman" w:cs="Times New Roman"/>
        </w:rPr>
        <w:t>П</w:t>
      </w:r>
      <w:r w:rsidRPr="00916F93">
        <w:rPr>
          <w:rFonts w:ascii="Times New Roman" w:hAnsi="Times New Roman" w:cs="Times New Roman"/>
        </w:rPr>
        <w:t>рез 201</w:t>
      </w:r>
      <w:r>
        <w:rPr>
          <w:rFonts w:ascii="Times New Roman" w:hAnsi="Times New Roman" w:cs="Times New Roman"/>
          <w:lang w:val="en-US"/>
        </w:rPr>
        <w:t>6</w:t>
      </w:r>
      <w:r w:rsidRPr="00916F93">
        <w:rPr>
          <w:rFonts w:ascii="Times New Roman" w:hAnsi="Times New Roman" w:cs="Times New Roman"/>
        </w:rPr>
        <w:t xml:space="preserve"> г. </w:t>
      </w:r>
      <w:r>
        <w:rPr>
          <w:rFonts w:ascii="Times New Roman" w:hAnsi="Times New Roman" w:cs="Times New Roman"/>
        </w:rPr>
        <w:t xml:space="preserve">техният брой достига 201 014, като за последните десет години се свива почти 2.5 пъти. Намаляването е основно за сметка на малките стопанства с използвана земеделска площ до 1 ха, както и на тези с използвани площи от 1- 2 ха и от 2-10 ха, при паралелно нарастване на броя на земеделските стопанства с използвана земеделска площ над 10 ха. Същевременно използваната земеделска площ нараства устойчиво до 3.8 </w:t>
      </w:r>
      <w:proofErr w:type="spellStart"/>
      <w:r>
        <w:rPr>
          <w:rFonts w:ascii="Times New Roman" w:hAnsi="Times New Roman" w:cs="Times New Roman"/>
        </w:rPr>
        <w:t>млн.ха</w:t>
      </w:r>
      <w:proofErr w:type="spellEnd"/>
      <w:r>
        <w:rPr>
          <w:rFonts w:ascii="Times New Roman" w:hAnsi="Times New Roman" w:cs="Times New Roman"/>
        </w:rPr>
        <w:t xml:space="preserve"> през 2016 г., с кумулативен ръст от почти ¼ за периода. Окрупняването на сектора води до повече от тройно нарастване на средния размер на фермите до 20.6 ха през 2016 г., като най-големите стопанства (с използвана земеделска площ над 50 ха) концентрират 85.2% от общите площи. В регионален план, Северозападен район увеличава делът си в общата използвана земеделска площ до 21.3% през 2016 г., докато следващите го с минимална разлика през 2007 г. Североизточен, Югоизточен и Северен централен райони намаляват присъствието си с повече от 1 процентен пункт всеки до съответно 19.6%, 16.4% и 18.9%. Югозападен и Южен централен райони регистрират значително нарастване на относителните си дялове в общата използвана земеделска площ, но тяхното присъствие остава по-незначително (съответно 8% и 12.8%). Окрупняването на сектора е най-видно в Северозападен район, който постига най-висок среден размер на стопанствата през 2016 г. от 43.9 ха, изпреварвайки чувствително водещите в това отношение през 2007 г. Североизточен (39.7 ха) и </w:t>
      </w:r>
      <w:r>
        <w:rPr>
          <w:rFonts w:ascii="Times New Roman" w:hAnsi="Times New Roman" w:cs="Times New Roman"/>
        </w:rPr>
        <w:lastRenderedPageBreak/>
        <w:t xml:space="preserve">Северен централен райони (35.2 ха). Въпреки че </w:t>
      </w:r>
      <w:r w:rsidRPr="004C45E0">
        <w:rPr>
          <w:rFonts w:ascii="Times New Roman" w:hAnsi="Times New Roman" w:cs="Times New Roman"/>
        </w:rPr>
        <w:t xml:space="preserve">Югозападен </w:t>
      </w:r>
      <w:r>
        <w:rPr>
          <w:rFonts w:ascii="Times New Roman" w:hAnsi="Times New Roman" w:cs="Times New Roman"/>
        </w:rPr>
        <w:t xml:space="preserve">(7.4 ха) </w:t>
      </w:r>
      <w:r w:rsidRPr="004C45E0">
        <w:rPr>
          <w:rFonts w:ascii="Times New Roman" w:hAnsi="Times New Roman" w:cs="Times New Roman"/>
        </w:rPr>
        <w:t>и Южен централен райони</w:t>
      </w:r>
      <w:r>
        <w:rPr>
          <w:rFonts w:ascii="Times New Roman" w:hAnsi="Times New Roman" w:cs="Times New Roman"/>
        </w:rPr>
        <w:t xml:space="preserve"> (8 ха) също следват общата тенденция на окрупняване и увеличават двойно средния размер на стопанствата си, продължават да се характеризират с преобладаващо малки ферми, като концентрират съответно 22.2% и 33.1% от общите земеделски стопанства в страната (срещу между 10% и 13% в останалите четири района).</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Продължава и тенденцията на нарастване на относителния дял на земята, отдавана под наем или аренда. Към 2016 г. използваната от собствениците й земеделска площ намалява до 14.7% от общата площ, докато обработваната от </w:t>
      </w:r>
      <w:proofErr w:type="spellStart"/>
      <w:r>
        <w:rPr>
          <w:rFonts w:ascii="Times New Roman" w:hAnsi="Times New Roman" w:cs="Times New Roman"/>
        </w:rPr>
        <w:t>арендоползватели</w:t>
      </w:r>
      <w:proofErr w:type="spellEnd"/>
      <w:r>
        <w:rPr>
          <w:rFonts w:ascii="Times New Roman" w:hAnsi="Times New Roman" w:cs="Times New Roman"/>
        </w:rPr>
        <w:t xml:space="preserve"> площ нараства с повече от 1/5, без значими регионални различия (ако оставим настрана Югозападния район, в който отдаваната под наем земя нараства чувствително по-бързо).</w:t>
      </w:r>
    </w:p>
    <w:p w:rsidR="00AE0F90" w:rsidRPr="00EB0348" w:rsidRDefault="00AE0F90" w:rsidP="00AE0F90">
      <w:pPr>
        <w:pStyle w:val="ListParagraph"/>
        <w:spacing w:line="269" w:lineRule="auto"/>
        <w:ind w:left="0" w:firstLine="0"/>
        <w:contextualSpacing w:val="0"/>
        <w:jc w:val="both"/>
        <w:rPr>
          <w:rFonts w:ascii="Times New Roman" w:hAnsi="Times New Roman" w:cs="Times New Roman"/>
        </w:rPr>
      </w:pPr>
      <w:r w:rsidRPr="00EB0348">
        <w:rPr>
          <w:rFonts w:ascii="Times New Roman" w:hAnsi="Times New Roman" w:cs="Times New Roman"/>
        </w:rPr>
        <w:t>Въпреки наблюдаваните процеси на окрупняване на използваната земеделска площ,</w:t>
      </w:r>
      <w:r w:rsidRPr="00EB0348">
        <w:t xml:space="preserve"> </w:t>
      </w:r>
      <w:r w:rsidRPr="00EB0348">
        <w:rPr>
          <w:rFonts w:ascii="Times New Roman" w:hAnsi="Times New Roman" w:cs="Times New Roman"/>
        </w:rPr>
        <w:t>стопанства</w:t>
      </w:r>
      <w:r>
        <w:rPr>
          <w:rFonts w:ascii="Times New Roman" w:hAnsi="Times New Roman" w:cs="Times New Roman"/>
        </w:rPr>
        <w:t>та</w:t>
      </w:r>
      <w:r w:rsidRPr="00EB0348">
        <w:rPr>
          <w:rFonts w:ascii="Times New Roman" w:hAnsi="Times New Roman" w:cs="Times New Roman"/>
        </w:rPr>
        <w:t xml:space="preserve"> с малък икономически размер продължават да преобладават, като 80% от всички стопанства са със стандартен производствен обем до 8 000 евро. Стопанствата с производствен обем над 250 000 евро, които все пак увеличават присъствието си през периода</w:t>
      </w:r>
      <w:r>
        <w:rPr>
          <w:rFonts w:ascii="Times New Roman" w:hAnsi="Times New Roman" w:cs="Times New Roman"/>
        </w:rPr>
        <w:t xml:space="preserve"> до 1.4% от всички стопанства</w:t>
      </w:r>
      <w:r w:rsidRPr="00EB0348">
        <w:rPr>
          <w:rFonts w:ascii="Times New Roman" w:hAnsi="Times New Roman" w:cs="Times New Roman"/>
        </w:rPr>
        <w:t xml:space="preserve">, са специализирани основно в зърнени и маслодайни култури. </w:t>
      </w:r>
      <w:r>
        <w:rPr>
          <w:rFonts w:ascii="Times New Roman" w:hAnsi="Times New Roman" w:cs="Times New Roman"/>
        </w:rPr>
        <w:t xml:space="preserve">Те формират повече от половината (58.5%) продукция на отрасъла. </w:t>
      </w:r>
      <w:r w:rsidRPr="00EB0348">
        <w:rPr>
          <w:rFonts w:ascii="Times New Roman" w:hAnsi="Times New Roman" w:cs="Times New Roman"/>
        </w:rPr>
        <w:t>Малките по размер стопанства са със смесена типология на производството</w:t>
      </w:r>
      <w:r>
        <w:rPr>
          <w:rFonts w:ascii="Times New Roman" w:hAnsi="Times New Roman" w:cs="Times New Roman"/>
        </w:rPr>
        <w:t xml:space="preserve"> и </w:t>
      </w:r>
      <w:r w:rsidRPr="00EB0348">
        <w:rPr>
          <w:rFonts w:ascii="Times New Roman" w:hAnsi="Times New Roman" w:cs="Times New Roman"/>
        </w:rPr>
        <w:t xml:space="preserve">продължават да доминират в </w:t>
      </w:r>
      <w:proofErr w:type="spellStart"/>
      <w:r w:rsidRPr="00EB0348">
        <w:rPr>
          <w:rFonts w:ascii="Times New Roman" w:hAnsi="Times New Roman" w:cs="Times New Roman"/>
        </w:rPr>
        <w:t>необлагодетелстваните</w:t>
      </w:r>
      <w:proofErr w:type="spellEnd"/>
      <w:r w:rsidRPr="00EB0348">
        <w:rPr>
          <w:rFonts w:ascii="Times New Roman" w:hAnsi="Times New Roman" w:cs="Times New Roman"/>
        </w:rPr>
        <w:t xml:space="preserve"> и планински територии, както и в райони с интензивно зеленчукопроизводство, овощарство и тютюнопроизводство.</w:t>
      </w:r>
    </w:p>
    <w:p w:rsidR="00AE0F90" w:rsidRPr="00F87709" w:rsidRDefault="00AE0F90" w:rsidP="00AE0F90">
      <w:pPr>
        <w:pStyle w:val="ListParagraph"/>
        <w:spacing w:line="269" w:lineRule="auto"/>
        <w:ind w:left="0" w:firstLine="0"/>
        <w:contextualSpacing w:val="0"/>
        <w:jc w:val="both"/>
        <w:rPr>
          <w:rFonts w:ascii="Times New Roman" w:hAnsi="Times New Roman" w:cs="Times New Roman"/>
        </w:rPr>
      </w:pPr>
      <w:r w:rsidRPr="001B5480">
        <w:rPr>
          <w:rFonts w:ascii="Times New Roman" w:hAnsi="Times New Roman" w:cs="Times New Roman"/>
        </w:rPr>
        <w:t xml:space="preserve">Съществуващата в страната </w:t>
      </w:r>
      <w:r w:rsidRPr="001B5480">
        <w:rPr>
          <w:rFonts w:ascii="Times New Roman" w:eastAsia="Calibri" w:hAnsi="Times New Roman" w:cs="Times New Roman"/>
          <w:b/>
          <w:color w:val="365F91"/>
          <w:lang w:eastAsia="en-US"/>
        </w:rPr>
        <w:t>хидромелиоративна инфраструктура</w:t>
      </w:r>
      <w:r w:rsidRPr="001B5480">
        <w:rPr>
          <w:rFonts w:ascii="Times New Roman" w:hAnsi="Times New Roman" w:cs="Times New Roman"/>
        </w:rPr>
        <w:t>, включваща инженерни системи, свързани с напояване, отводняване и защита от вредното въздействие на водите, остава в критично физическо състояние и влошена функционалност, което води до значителни загуби на поливна вода в линейната инфраструктура и съответно до високата й цена. Въпреки че през последните няколко години се наблюдава известно нарастване на поливните площи, те обхващат едва 2.4% от използваните земеделски площи и 2.1% от обработваемите земи. </w:t>
      </w:r>
      <w:r>
        <w:rPr>
          <w:rFonts w:ascii="Times New Roman" w:hAnsi="Times New Roman" w:cs="Times New Roman"/>
        </w:rPr>
        <w:t>Относително по-благоприятно е положението в Южен централен район, където 10.8% от обработваемата земя се напоява, както – донякъде – и в Югозападен район (5.8%), докато в останалите райони поливните площи обхващат между 0.4 и 1.4% от обработваемите земи. Ниският дял на напояваните земеделски площи не позволява повишаване на производителността и остава съществена пречка пред интензивното развитие на отрасъла.</w:t>
      </w:r>
    </w:p>
    <w:p w:rsidR="00AE0F90" w:rsidRDefault="00AE0F90" w:rsidP="00AE0F90">
      <w:pPr>
        <w:pStyle w:val="ListParagraph"/>
        <w:spacing w:line="269" w:lineRule="auto"/>
        <w:ind w:left="0" w:firstLine="0"/>
        <w:contextualSpacing w:val="0"/>
        <w:jc w:val="both"/>
        <w:rPr>
          <w:rFonts w:ascii="Times New Roman" w:hAnsi="Times New Roman" w:cs="Times New Roman"/>
          <w:lang w:val="en-US"/>
        </w:rPr>
      </w:pPr>
      <w:r w:rsidRPr="009128AF">
        <w:rPr>
          <w:rFonts w:ascii="Times New Roman" w:hAnsi="Times New Roman" w:cs="Times New Roman"/>
        </w:rPr>
        <w:t xml:space="preserve">През  последните  години  </w:t>
      </w:r>
      <w:r w:rsidRPr="009128AF">
        <w:rPr>
          <w:rFonts w:ascii="Times New Roman" w:eastAsia="Calibri" w:hAnsi="Times New Roman" w:cs="Times New Roman"/>
          <w:b/>
          <w:color w:val="365F91"/>
          <w:lang w:eastAsia="en-US"/>
        </w:rPr>
        <w:t>биологичното  производство</w:t>
      </w:r>
      <w:r w:rsidRPr="009128AF">
        <w:rPr>
          <w:rFonts w:ascii="Times New Roman" w:hAnsi="Times New Roman" w:cs="Times New Roman"/>
        </w:rPr>
        <w:t xml:space="preserve">  в  страната  се  развива  с  бързи темпове, като се наблюдава тенденция на увеличение както на броя на производителите, така и на </w:t>
      </w:r>
      <w:r>
        <w:rPr>
          <w:rFonts w:ascii="Times New Roman" w:hAnsi="Times New Roman" w:cs="Times New Roman"/>
        </w:rPr>
        <w:t xml:space="preserve">ангажираните </w:t>
      </w:r>
      <w:r w:rsidRPr="009128AF">
        <w:rPr>
          <w:rFonts w:ascii="Times New Roman" w:hAnsi="Times New Roman" w:cs="Times New Roman"/>
        </w:rPr>
        <w:t xml:space="preserve">площи. </w:t>
      </w:r>
      <w:r w:rsidRPr="00A15A03">
        <w:rPr>
          <w:rFonts w:ascii="Times New Roman" w:hAnsi="Times New Roman" w:cs="Times New Roman"/>
        </w:rPr>
        <w:t xml:space="preserve">Пазарът на биологични продукти в България е сравнително нов и все още </w:t>
      </w:r>
      <w:r>
        <w:rPr>
          <w:rFonts w:ascii="Times New Roman" w:hAnsi="Times New Roman" w:cs="Times New Roman"/>
        </w:rPr>
        <w:t>относително</w:t>
      </w:r>
      <w:r w:rsidRPr="00A15A03">
        <w:rPr>
          <w:rFonts w:ascii="Times New Roman" w:hAnsi="Times New Roman" w:cs="Times New Roman"/>
        </w:rPr>
        <w:t xml:space="preserve"> малък, но в същото  време бързоразвиващ се. </w:t>
      </w:r>
      <w:r>
        <w:rPr>
          <w:rFonts w:ascii="Times New Roman" w:hAnsi="Times New Roman" w:cs="Times New Roman"/>
        </w:rPr>
        <w:t>Търсенето на биологични продукти</w:t>
      </w:r>
      <w:r w:rsidRPr="00EF395C">
        <w:rPr>
          <w:rFonts w:ascii="Times New Roman" w:hAnsi="Times New Roman" w:cs="Times New Roman"/>
        </w:rPr>
        <w:t xml:space="preserve"> </w:t>
      </w:r>
      <w:r>
        <w:rPr>
          <w:rFonts w:ascii="Times New Roman" w:hAnsi="Times New Roman" w:cs="Times New Roman"/>
        </w:rPr>
        <w:t xml:space="preserve">расте динамично. </w:t>
      </w:r>
      <w:r w:rsidRPr="00A15A03">
        <w:rPr>
          <w:rFonts w:ascii="Times New Roman" w:hAnsi="Times New Roman" w:cs="Times New Roman"/>
        </w:rPr>
        <w:t>Увеличава се броят на специализираните магазини, както и броят на търговските вериги, които се включват в дистрибуцията на биологични храни.</w:t>
      </w:r>
      <w:r>
        <w:rPr>
          <w:rFonts w:ascii="Times New Roman" w:hAnsi="Times New Roman" w:cs="Times New Roman"/>
        </w:rPr>
        <w:t xml:space="preserve"> От страна на предлагането също се наблюдава значителен растеж.</w:t>
      </w:r>
      <w:r w:rsidRPr="00A15A03">
        <w:rPr>
          <w:rFonts w:ascii="Times New Roman" w:hAnsi="Times New Roman" w:cs="Times New Roman"/>
        </w:rPr>
        <w:t xml:space="preserve"> </w:t>
      </w:r>
      <w:r>
        <w:rPr>
          <w:rFonts w:ascii="Times New Roman" w:hAnsi="Times New Roman" w:cs="Times New Roman"/>
        </w:rPr>
        <w:t>Броят на биологичните оператори</w:t>
      </w:r>
      <w:r>
        <w:rPr>
          <w:rStyle w:val="FootnoteReference"/>
          <w:rFonts w:ascii="Times New Roman" w:hAnsi="Times New Roman"/>
        </w:rPr>
        <w:footnoteReference w:id="98"/>
      </w:r>
      <w:r>
        <w:rPr>
          <w:rFonts w:ascii="Times New Roman" w:hAnsi="Times New Roman" w:cs="Times New Roman"/>
        </w:rPr>
        <w:t xml:space="preserve"> нараства повече от 22 пъти в периода 2008-2016 г. и достига 6 964, а </w:t>
      </w:r>
      <w:r w:rsidRPr="009128AF">
        <w:rPr>
          <w:rFonts w:ascii="Times New Roman" w:hAnsi="Times New Roman" w:cs="Times New Roman"/>
        </w:rPr>
        <w:t xml:space="preserve">площите, върху които се прилагат методите на биологично производство </w:t>
      </w:r>
      <w:r>
        <w:rPr>
          <w:rFonts w:ascii="Times New Roman" w:hAnsi="Times New Roman" w:cs="Times New Roman"/>
        </w:rPr>
        <w:t>се увеличават почти 10 пъти, достигайки 160 620 ха</w:t>
      </w:r>
      <w:r w:rsidRPr="00F600ED">
        <w:rPr>
          <w:rFonts w:ascii="Times New Roman" w:eastAsia="Calibri" w:hAnsi="Times New Roman" w:cs="Times New Roman"/>
          <w:vertAlign w:val="superscript"/>
          <w:lang w:eastAsia="en-US"/>
        </w:rPr>
        <w:footnoteReference w:id="99"/>
      </w:r>
      <w:r>
        <w:rPr>
          <w:rFonts w:ascii="Times New Roman" w:hAnsi="Times New Roman" w:cs="Times New Roman"/>
        </w:rPr>
        <w:t xml:space="preserve"> или </w:t>
      </w:r>
      <w:r w:rsidRPr="009128AF">
        <w:rPr>
          <w:rFonts w:ascii="Times New Roman" w:hAnsi="Times New Roman" w:cs="Times New Roman"/>
        </w:rPr>
        <w:t>3</w:t>
      </w:r>
      <w:r>
        <w:rPr>
          <w:rFonts w:ascii="Times New Roman" w:hAnsi="Times New Roman" w:cs="Times New Roman"/>
        </w:rPr>
        <w:t>.</w:t>
      </w:r>
      <w:r w:rsidRPr="009128AF">
        <w:rPr>
          <w:rFonts w:ascii="Times New Roman" w:hAnsi="Times New Roman" w:cs="Times New Roman"/>
        </w:rPr>
        <w:t>2% от общата използвана земеделска площ в страната</w:t>
      </w:r>
      <w:r>
        <w:rPr>
          <w:rFonts w:ascii="Times New Roman" w:hAnsi="Times New Roman" w:cs="Times New Roman"/>
        </w:rPr>
        <w:t xml:space="preserve">. Въпреки че България е с най-динамично развиващо се биологично производство в ЕС през последните години, все още се наблюдава сериозно (повече от двойно) изоставане от средните за ЕС стойности по отношение на ангажираните за </w:t>
      </w:r>
      <w:r w:rsidRPr="00B8752A">
        <w:rPr>
          <w:rFonts w:ascii="Times New Roman" w:hAnsi="Times New Roman" w:cs="Times New Roman"/>
        </w:rPr>
        <w:t>биологично производство</w:t>
      </w:r>
      <w:r>
        <w:rPr>
          <w:rFonts w:ascii="Times New Roman" w:hAnsi="Times New Roman" w:cs="Times New Roman"/>
        </w:rPr>
        <w:t xml:space="preserve"> площи.</w:t>
      </w:r>
      <w:r w:rsidRPr="00A15A03">
        <w:rPr>
          <w:rFonts w:ascii="Times New Roman" w:hAnsi="Times New Roman" w:cs="Times New Roman"/>
        </w:rPr>
        <w:t xml:space="preserve"> </w:t>
      </w:r>
      <w:r>
        <w:rPr>
          <w:rFonts w:ascii="Times New Roman" w:hAnsi="Times New Roman" w:cs="Times New Roman"/>
        </w:rPr>
        <w:t xml:space="preserve">Потенциалът, който има биологичното производство у нас, свързан с благоприятни климатични условия и </w:t>
      </w:r>
      <w:r w:rsidRPr="009772DA">
        <w:rPr>
          <w:rFonts w:ascii="Times New Roman" w:hAnsi="Times New Roman" w:cs="Times New Roman"/>
        </w:rPr>
        <w:t>запазени от екологична гледна точка райони</w:t>
      </w:r>
      <w:r>
        <w:rPr>
          <w:rFonts w:ascii="Times New Roman" w:hAnsi="Times New Roman" w:cs="Times New Roman"/>
        </w:rPr>
        <w:t>, не се валоризира в достатъчна степен.</w:t>
      </w:r>
    </w:p>
    <w:p w:rsidR="00AE0F90" w:rsidRPr="004F5CCD"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Сектор „</w:t>
      </w:r>
      <w:r w:rsidRPr="004F5CCD">
        <w:rPr>
          <w:rFonts w:ascii="Times New Roman" w:eastAsia="Calibri" w:hAnsi="Times New Roman" w:cs="Times New Roman"/>
          <w:b/>
          <w:i/>
          <w:color w:val="365F91"/>
          <w:lang w:eastAsia="en-US"/>
        </w:rPr>
        <w:t>Рибно стопанство</w:t>
      </w:r>
      <w:r>
        <w:rPr>
          <w:rFonts w:ascii="Times New Roman" w:hAnsi="Times New Roman" w:cs="Times New Roman"/>
        </w:rPr>
        <w:t xml:space="preserve">“ се развива с високи темпове през последните години, донякъде в резултат на специалната насоченост на политиката към него и насочването на средства от ЕС, въпреки че несъмнено позитивен ефект имат и растящото търсене в страната и повишаването на </w:t>
      </w:r>
      <w:r w:rsidRPr="004F5CCD">
        <w:rPr>
          <w:rFonts w:ascii="Times New Roman" w:hAnsi="Times New Roman" w:cs="Times New Roman"/>
        </w:rPr>
        <w:t>средногодишно</w:t>
      </w:r>
      <w:r>
        <w:rPr>
          <w:rFonts w:ascii="Times New Roman" w:hAnsi="Times New Roman" w:cs="Times New Roman"/>
        </w:rPr>
        <w:t>то</w:t>
      </w:r>
      <w:r w:rsidRPr="004F5CCD">
        <w:rPr>
          <w:rFonts w:ascii="Times New Roman" w:hAnsi="Times New Roman" w:cs="Times New Roman"/>
        </w:rPr>
        <w:t xml:space="preserve"> </w:t>
      </w:r>
      <w:r w:rsidRPr="004F5CCD">
        <w:rPr>
          <w:rFonts w:ascii="Times New Roman" w:hAnsi="Times New Roman" w:cs="Times New Roman"/>
        </w:rPr>
        <w:lastRenderedPageBreak/>
        <w:t>потребление на човек от населението</w:t>
      </w:r>
      <w:r>
        <w:rPr>
          <w:rFonts w:ascii="Times New Roman" w:hAnsi="Times New Roman" w:cs="Times New Roman"/>
        </w:rPr>
        <w:t xml:space="preserve">. </w:t>
      </w:r>
      <w:r w:rsidRPr="00FC4CA9">
        <w:rPr>
          <w:rFonts w:ascii="Times New Roman" w:hAnsi="Times New Roman" w:cs="Times New Roman"/>
        </w:rPr>
        <w:t>Общото</w:t>
      </w:r>
      <w:r>
        <w:rPr>
          <w:rFonts w:ascii="Times New Roman" w:hAnsi="Times New Roman" w:cs="Times New Roman"/>
        </w:rPr>
        <w:t xml:space="preserve"> </w:t>
      </w:r>
      <w:r w:rsidRPr="00FC4CA9">
        <w:rPr>
          <w:rFonts w:ascii="Times New Roman" w:hAnsi="Times New Roman" w:cs="Times New Roman"/>
        </w:rPr>
        <w:t xml:space="preserve">производство на </w:t>
      </w:r>
      <w:proofErr w:type="spellStart"/>
      <w:r w:rsidRPr="00FC4CA9">
        <w:rPr>
          <w:rFonts w:ascii="Times New Roman" w:hAnsi="Times New Roman" w:cs="Times New Roman"/>
        </w:rPr>
        <w:t>аквакултури</w:t>
      </w:r>
      <w:proofErr w:type="spellEnd"/>
      <w:r w:rsidRPr="00FC4CA9">
        <w:rPr>
          <w:rFonts w:ascii="Times New Roman" w:hAnsi="Times New Roman" w:cs="Times New Roman"/>
        </w:rPr>
        <w:t xml:space="preserve"> (</w:t>
      </w:r>
      <w:proofErr w:type="spellStart"/>
      <w:r w:rsidRPr="00FC4CA9">
        <w:rPr>
          <w:rFonts w:ascii="Times New Roman" w:hAnsi="Times New Roman" w:cs="Times New Roman"/>
        </w:rPr>
        <w:t>зарибителен</w:t>
      </w:r>
      <w:proofErr w:type="spellEnd"/>
      <w:r w:rsidRPr="00FC4CA9">
        <w:rPr>
          <w:rFonts w:ascii="Times New Roman" w:hAnsi="Times New Roman" w:cs="Times New Roman"/>
        </w:rPr>
        <w:t xml:space="preserve"> материал, риба и други водни организми за консумация) </w:t>
      </w:r>
      <w:r>
        <w:rPr>
          <w:rFonts w:ascii="Times New Roman" w:hAnsi="Times New Roman" w:cs="Times New Roman"/>
        </w:rPr>
        <w:t>нараства повече от 2.5</w:t>
      </w:r>
      <w:r>
        <w:rPr>
          <w:rStyle w:val="FootnoteReference"/>
          <w:rFonts w:ascii="Times New Roman" w:hAnsi="Times New Roman" w:cs="Times New Roman"/>
        </w:rPr>
        <w:footnoteReference w:id="100"/>
      </w:r>
      <w:r>
        <w:rPr>
          <w:rFonts w:ascii="Times New Roman" w:hAnsi="Times New Roman" w:cs="Times New Roman"/>
        </w:rPr>
        <w:t xml:space="preserve"> пъти в периода 2007-2016 г. и достига 15.4 </w:t>
      </w:r>
      <w:proofErr w:type="spellStart"/>
      <w:r>
        <w:rPr>
          <w:rFonts w:ascii="Times New Roman" w:hAnsi="Times New Roman" w:cs="Times New Roman"/>
        </w:rPr>
        <w:t>хил.т</w:t>
      </w:r>
      <w:proofErr w:type="spellEnd"/>
      <w:r>
        <w:rPr>
          <w:rFonts w:ascii="Times New Roman" w:hAnsi="Times New Roman" w:cs="Times New Roman"/>
        </w:rPr>
        <w:t xml:space="preserve">., а броят на </w:t>
      </w:r>
      <w:r w:rsidRPr="00FC4CA9">
        <w:rPr>
          <w:rFonts w:ascii="Times New Roman" w:hAnsi="Times New Roman" w:cs="Times New Roman"/>
        </w:rPr>
        <w:t xml:space="preserve">специализираните рибовъдни стопанства </w:t>
      </w:r>
      <w:r>
        <w:rPr>
          <w:rFonts w:ascii="Times New Roman" w:hAnsi="Times New Roman" w:cs="Times New Roman"/>
        </w:rPr>
        <w:t xml:space="preserve">се удвоява до 683. Износът на сектора отбелязва почти трикратен растеж до 12.1 </w:t>
      </w:r>
      <w:proofErr w:type="spellStart"/>
      <w:r>
        <w:rPr>
          <w:rFonts w:ascii="Times New Roman" w:hAnsi="Times New Roman" w:cs="Times New Roman"/>
        </w:rPr>
        <w:t>хил.т</w:t>
      </w:r>
      <w:proofErr w:type="spellEnd"/>
      <w:r>
        <w:rPr>
          <w:rFonts w:ascii="Times New Roman" w:hAnsi="Times New Roman" w:cs="Times New Roman"/>
        </w:rPr>
        <w:t>., докато вносът отбелязва по-скромен растеж (66.6%), но продължава да изпреварва чувствително експорта и негативното салдо във външната търговия с риба и рибни продукти нараства с повече от 1/3.</w:t>
      </w:r>
      <w:r w:rsidRPr="00FC4CA9">
        <w:rPr>
          <w:rFonts w:ascii="Times New Roman" w:hAnsi="Times New Roman" w:cs="Times New Roman"/>
        </w:rPr>
        <w:t xml:space="preserve"> </w:t>
      </w:r>
      <w:r w:rsidRPr="004F5CCD">
        <w:rPr>
          <w:rFonts w:ascii="Times New Roman" w:hAnsi="Times New Roman" w:cs="Times New Roman"/>
        </w:rPr>
        <w:t>Общият</w:t>
      </w:r>
      <w:r>
        <w:rPr>
          <w:rFonts w:ascii="Times New Roman" w:hAnsi="Times New Roman" w:cs="Times New Roman"/>
        </w:rPr>
        <w:t xml:space="preserve"> </w:t>
      </w:r>
      <w:r w:rsidRPr="004F5CCD">
        <w:rPr>
          <w:rFonts w:ascii="Times New Roman" w:hAnsi="Times New Roman" w:cs="Times New Roman"/>
        </w:rPr>
        <w:t>улов на риба и други водни организми</w:t>
      </w:r>
      <w:r>
        <w:rPr>
          <w:rFonts w:ascii="Times New Roman" w:hAnsi="Times New Roman" w:cs="Times New Roman"/>
        </w:rPr>
        <w:t xml:space="preserve"> в страната нараства с 9% през периода и достига 8.6 </w:t>
      </w:r>
      <w:proofErr w:type="spellStart"/>
      <w:r>
        <w:rPr>
          <w:rFonts w:ascii="Times New Roman" w:hAnsi="Times New Roman" w:cs="Times New Roman"/>
        </w:rPr>
        <w:t>хил.т</w:t>
      </w:r>
      <w:proofErr w:type="spellEnd"/>
      <w:r>
        <w:rPr>
          <w:rFonts w:ascii="Times New Roman" w:hAnsi="Times New Roman" w:cs="Times New Roman"/>
        </w:rPr>
        <w:t xml:space="preserve">. през 2016 г. Въпреки отбелязаните позитивни резултати, до голяма степен остават нерешени проблемите пред интензивното развитие на сектора, включващи лошо състояние на риболовния флот, ниско качество на рибарската инфраструктура, остаряла материално-техническа база в </w:t>
      </w:r>
      <w:proofErr w:type="spellStart"/>
      <w:r>
        <w:rPr>
          <w:rFonts w:ascii="Times New Roman" w:hAnsi="Times New Roman" w:cs="Times New Roman"/>
        </w:rPr>
        <w:t>аквакултурните</w:t>
      </w:r>
      <w:proofErr w:type="spellEnd"/>
      <w:r>
        <w:rPr>
          <w:rFonts w:ascii="Times New Roman" w:hAnsi="Times New Roman" w:cs="Times New Roman"/>
        </w:rPr>
        <w:t xml:space="preserve"> стопанства и др. Флотът продължава да се формира, в преобладаващата си част, от </w:t>
      </w:r>
      <w:r w:rsidRPr="00D661D0">
        <w:rPr>
          <w:rFonts w:ascii="Times New Roman" w:hAnsi="Times New Roman" w:cs="Times New Roman"/>
        </w:rPr>
        <w:t>стари и икономически неефективни кораби</w:t>
      </w:r>
      <w:r>
        <w:rPr>
          <w:rFonts w:ascii="Times New Roman" w:hAnsi="Times New Roman" w:cs="Times New Roman"/>
        </w:rPr>
        <w:t xml:space="preserve">, използващи </w:t>
      </w:r>
      <w:r w:rsidRPr="00D661D0">
        <w:rPr>
          <w:rFonts w:ascii="Times New Roman" w:hAnsi="Times New Roman" w:cs="Times New Roman"/>
        </w:rPr>
        <w:t xml:space="preserve">остарели </w:t>
      </w:r>
      <w:r w:rsidRPr="00AE2C95">
        <w:rPr>
          <w:rFonts w:ascii="Times New Roman" w:hAnsi="Times New Roman" w:cs="Times New Roman"/>
        </w:rPr>
        <w:t xml:space="preserve">риболовни уреди с ниска селективност, с негативно въздействие върху околната среда. </w:t>
      </w:r>
      <w:r>
        <w:rPr>
          <w:rFonts w:ascii="Times New Roman" w:hAnsi="Times New Roman" w:cs="Times New Roman"/>
        </w:rPr>
        <w:t>В значителна степен остава нерешен въпросът с лошите у</w:t>
      </w:r>
      <w:r w:rsidRPr="00AE2C95">
        <w:rPr>
          <w:rFonts w:ascii="Times New Roman" w:hAnsi="Times New Roman" w:cs="Times New Roman"/>
        </w:rPr>
        <w:t xml:space="preserve">словия </w:t>
      </w:r>
      <w:r>
        <w:rPr>
          <w:rFonts w:ascii="Times New Roman" w:hAnsi="Times New Roman" w:cs="Times New Roman"/>
        </w:rPr>
        <w:t>в р</w:t>
      </w:r>
      <w:r w:rsidRPr="00AE2C95">
        <w:rPr>
          <w:rFonts w:ascii="Times New Roman" w:hAnsi="Times New Roman" w:cs="Times New Roman"/>
        </w:rPr>
        <w:t>ибарски</w:t>
      </w:r>
      <w:r>
        <w:rPr>
          <w:rFonts w:ascii="Times New Roman" w:hAnsi="Times New Roman" w:cs="Times New Roman"/>
        </w:rPr>
        <w:t>те</w:t>
      </w:r>
      <w:r w:rsidRPr="00AE2C95">
        <w:rPr>
          <w:rFonts w:ascii="Times New Roman" w:hAnsi="Times New Roman" w:cs="Times New Roman"/>
        </w:rPr>
        <w:t xml:space="preserve"> пристанища</w:t>
      </w:r>
      <w:r>
        <w:rPr>
          <w:rFonts w:ascii="Times New Roman" w:hAnsi="Times New Roman" w:cs="Times New Roman"/>
        </w:rPr>
        <w:t>, които</w:t>
      </w:r>
      <w:r w:rsidRPr="00AE2C95">
        <w:rPr>
          <w:rFonts w:ascii="Times New Roman" w:hAnsi="Times New Roman" w:cs="Times New Roman"/>
        </w:rPr>
        <w:t xml:space="preserve"> </w:t>
      </w:r>
      <w:r>
        <w:rPr>
          <w:rFonts w:ascii="Times New Roman" w:hAnsi="Times New Roman" w:cs="Times New Roman"/>
        </w:rPr>
        <w:t xml:space="preserve">продължават да </w:t>
      </w:r>
      <w:r w:rsidRPr="00AE2C95">
        <w:rPr>
          <w:rFonts w:ascii="Times New Roman" w:hAnsi="Times New Roman" w:cs="Times New Roman"/>
        </w:rPr>
        <w:t>не отговарят на хигиенно-санитарните европейски изисквания</w:t>
      </w:r>
      <w:r>
        <w:rPr>
          <w:rFonts w:ascii="Times New Roman" w:hAnsi="Times New Roman" w:cs="Times New Roman"/>
        </w:rPr>
        <w:t>, при л</w:t>
      </w:r>
      <w:r w:rsidRPr="00AE2C95">
        <w:rPr>
          <w:rFonts w:ascii="Times New Roman" w:hAnsi="Times New Roman" w:cs="Times New Roman"/>
        </w:rPr>
        <w:t>ипсва</w:t>
      </w:r>
      <w:r>
        <w:rPr>
          <w:rFonts w:ascii="Times New Roman" w:hAnsi="Times New Roman" w:cs="Times New Roman"/>
        </w:rPr>
        <w:t>щи</w:t>
      </w:r>
      <w:r w:rsidRPr="00AE2C95">
        <w:rPr>
          <w:rFonts w:ascii="Times New Roman" w:hAnsi="Times New Roman" w:cs="Times New Roman"/>
        </w:rPr>
        <w:t xml:space="preserve"> обособени места за сортиране и заготовка, както и търговски площи и места за съхранение</w:t>
      </w:r>
      <w:r>
        <w:rPr>
          <w:rFonts w:ascii="Times New Roman" w:hAnsi="Times New Roman" w:cs="Times New Roman"/>
        </w:rPr>
        <w:t>.</w:t>
      </w:r>
      <w:r w:rsidRPr="00AE2C95">
        <w:rPr>
          <w:rFonts w:ascii="Times New Roman" w:hAnsi="Times New Roman" w:cs="Times New Roman"/>
        </w:rPr>
        <w:t xml:space="preserve"> М</w:t>
      </w:r>
      <w:r>
        <w:rPr>
          <w:rFonts w:ascii="Times New Roman" w:hAnsi="Times New Roman" w:cs="Times New Roman"/>
        </w:rPr>
        <w:t>о</w:t>
      </w:r>
      <w:r w:rsidRPr="00AE2C95">
        <w:rPr>
          <w:rFonts w:ascii="Times New Roman" w:hAnsi="Times New Roman" w:cs="Times New Roman"/>
        </w:rPr>
        <w:t>рално</w:t>
      </w:r>
      <w:r>
        <w:rPr>
          <w:rFonts w:ascii="Times New Roman" w:hAnsi="Times New Roman" w:cs="Times New Roman"/>
        </w:rPr>
        <w:t xml:space="preserve"> и физически</w:t>
      </w:r>
      <w:r w:rsidRPr="00AE2C95">
        <w:rPr>
          <w:rFonts w:ascii="Times New Roman" w:hAnsi="Times New Roman" w:cs="Times New Roman"/>
        </w:rPr>
        <w:t xml:space="preserve"> остарялата база и техника</w:t>
      </w:r>
      <w:r>
        <w:rPr>
          <w:rFonts w:ascii="Times New Roman" w:hAnsi="Times New Roman" w:cs="Times New Roman"/>
        </w:rPr>
        <w:t xml:space="preserve"> в </w:t>
      </w:r>
      <w:proofErr w:type="spellStart"/>
      <w:r>
        <w:rPr>
          <w:rFonts w:ascii="Times New Roman" w:hAnsi="Times New Roman" w:cs="Times New Roman"/>
        </w:rPr>
        <w:t>аквакултурните</w:t>
      </w:r>
      <w:proofErr w:type="spellEnd"/>
      <w:r>
        <w:rPr>
          <w:rFonts w:ascii="Times New Roman" w:hAnsi="Times New Roman" w:cs="Times New Roman"/>
        </w:rPr>
        <w:t xml:space="preserve"> стопанства остава сериозно препятствие пред</w:t>
      </w:r>
      <w:r w:rsidRPr="00AE2C95">
        <w:rPr>
          <w:rFonts w:ascii="Times New Roman" w:hAnsi="Times New Roman" w:cs="Times New Roman"/>
        </w:rPr>
        <w:t xml:space="preserve"> повишаване</w:t>
      </w:r>
      <w:r>
        <w:rPr>
          <w:rFonts w:ascii="Times New Roman" w:hAnsi="Times New Roman" w:cs="Times New Roman"/>
        </w:rPr>
        <w:t>то</w:t>
      </w:r>
      <w:r w:rsidRPr="00AE2C95">
        <w:rPr>
          <w:rFonts w:ascii="Times New Roman" w:hAnsi="Times New Roman" w:cs="Times New Roman"/>
        </w:rPr>
        <w:t xml:space="preserve"> на пазарния дял на българската </w:t>
      </w:r>
      <w:proofErr w:type="spellStart"/>
      <w:r w:rsidRPr="00AE2C95">
        <w:rPr>
          <w:rFonts w:ascii="Times New Roman" w:hAnsi="Times New Roman" w:cs="Times New Roman"/>
        </w:rPr>
        <w:t>аквакултура</w:t>
      </w:r>
      <w:proofErr w:type="spellEnd"/>
      <w:r w:rsidRPr="00AE2C95">
        <w:rPr>
          <w:rFonts w:ascii="Times New Roman" w:hAnsi="Times New Roman" w:cs="Times New Roman"/>
        </w:rPr>
        <w:t xml:space="preserve"> </w:t>
      </w:r>
      <w:r>
        <w:rPr>
          <w:rFonts w:ascii="Times New Roman" w:hAnsi="Times New Roman" w:cs="Times New Roman"/>
        </w:rPr>
        <w:t>на световния пазар</w:t>
      </w:r>
      <w:r w:rsidRPr="00AE2C95">
        <w:rPr>
          <w:rFonts w:ascii="Times New Roman" w:hAnsi="Times New Roman" w:cs="Times New Roman"/>
        </w:rPr>
        <w:t>.</w:t>
      </w:r>
    </w:p>
    <w:p w:rsidR="00AE0F90" w:rsidRPr="00D433A9" w:rsidRDefault="00AE0F90" w:rsidP="00AE0F90">
      <w:pPr>
        <w:pStyle w:val="Heading3"/>
        <w:numPr>
          <w:ilvl w:val="2"/>
          <w:numId w:val="16"/>
        </w:numPr>
        <w:rPr>
          <w:color w:val="1F497D"/>
        </w:rPr>
      </w:pPr>
      <w:bookmarkStart w:id="31" w:name="_Toc791817"/>
      <w:r w:rsidRPr="00D433A9">
        <w:rPr>
          <w:color w:val="1F497D"/>
        </w:rPr>
        <w:t>Туризъм</w:t>
      </w:r>
      <w:bookmarkEnd w:id="31"/>
    </w:p>
    <w:p w:rsidR="00AE0F90" w:rsidRPr="00BF4B70" w:rsidRDefault="00AE0F90" w:rsidP="00AE0F90">
      <w:pPr>
        <w:pStyle w:val="ListParagraph"/>
        <w:spacing w:line="269" w:lineRule="auto"/>
        <w:ind w:left="0" w:firstLine="0"/>
        <w:contextualSpacing w:val="0"/>
        <w:jc w:val="both"/>
        <w:rPr>
          <w:rFonts w:ascii="Times New Roman" w:hAnsi="Times New Roman" w:cs="Times New Roman"/>
          <w:i/>
        </w:rPr>
      </w:pPr>
      <w:r w:rsidRPr="00BF4B70">
        <w:rPr>
          <w:rFonts w:ascii="Times New Roman" w:hAnsi="Times New Roman" w:cs="Times New Roman"/>
          <w:i/>
        </w:rPr>
        <w:t>Въпреки голямото разнообразие от туристически ресурси, с които разполага страната, през последните 10 години секторът на туризма намалява присъствието си в добавената стойност и заетостта.</w:t>
      </w:r>
      <w:r>
        <w:rPr>
          <w:rFonts w:ascii="Times New Roman" w:hAnsi="Times New Roman" w:cs="Times New Roman"/>
          <w:i/>
        </w:rPr>
        <w:t xml:space="preserve"> Развитието на индустрията почива на </w:t>
      </w:r>
      <w:r w:rsidRPr="00BF4B70">
        <w:rPr>
          <w:rFonts w:ascii="Times New Roman" w:hAnsi="Times New Roman" w:cs="Times New Roman"/>
          <w:i/>
        </w:rPr>
        <w:t xml:space="preserve">екстензивно използване на природните туристически ресурси и на ниска </w:t>
      </w:r>
      <w:proofErr w:type="spellStart"/>
      <w:r w:rsidRPr="00BF4B70">
        <w:rPr>
          <w:rFonts w:ascii="Times New Roman" w:hAnsi="Times New Roman" w:cs="Times New Roman"/>
          <w:i/>
        </w:rPr>
        <w:t>факторна</w:t>
      </w:r>
      <w:proofErr w:type="spellEnd"/>
      <w:r w:rsidRPr="00BF4B70">
        <w:rPr>
          <w:rFonts w:ascii="Times New Roman" w:hAnsi="Times New Roman" w:cs="Times New Roman"/>
          <w:i/>
        </w:rPr>
        <w:t xml:space="preserve"> себестойност</w:t>
      </w:r>
      <w:r>
        <w:rPr>
          <w:rFonts w:ascii="Times New Roman" w:hAnsi="Times New Roman" w:cs="Times New Roman"/>
          <w:i/>
        </w:rPr>
        <w:t>, като предлага основно масов морски и планински туризъм.</w:t>
      </w:r>
      <w:r w:rsidRPr="00E2163F">
        <w:t xml:space="preserve"> </w:t>
      </w:r>
      <w:r w:rsidRPr="00E2163F">
        <w:rPr>
          <w:rFonts w:ascii="Times New Roman" w:hAnsi="Times New Roman" w:cs="Times New Roman"/>
          <w:i/>
        </w:rPr>
        <w:t>Национална</w:t>
      </w:r>
      <w:r>
        <w:rPr>
          <w:rFonts w:ascii="Times New Roman" w:hAnsi="Times New Roman" w:cs="Times New Roman"/>
          <w:i/>
        </w:rPr>
        <w:t>та</w:t>
      </w:r>
      <w:r w:rsidRPr="00E2163F">
        <w:rPr>
          <w:rFonts w:ascii="Times New Roman" w:hAnsi="Times New Roman" w:cs="Times New Roman"/>
          <w:i/>
        </w:rPr>
        <w:t xml:space="preserve"> стратегия за развитие</w:t>
      </w:r>
      <w:r>
        <w:rPr>
          <w:rFonts w:ascii="Times New Roman" w:hAnsi="Times New Roman" w:cs="Times New Roman"/>
          <w:i/>
        </w:rPr>
        <w:t>то</w:t>
      </w:r>
      <w:r w:rsidRPr="00E2163F">
        <w:rPr>
          <w:rFonts w:ascii="Times New Roman" w:hAnsi="Times New Roman" w:cs="Times New Roman"/>
          <w:i/>
        </w:rPr>
        <w:t xml:space="preserve"> на </w:t>
      </w:r>
      <w:r>
        <w:rPr>
          <w:rFonts w:ascii="Times New Roman" w:hAnsi="Times New Roman" w:cs="Times New Roman"/>
          <w:i/>
        </w:rPr>
        <w:t>отрасъла дефинира 13 туристически продукта (в различна степен на зрялост), в доставката на които ще специализират туристическите райони на страната, с оглед на конкурентните им предимства. Своевременното достигане на целите на стратегията е значително предизвикателство, не на последно място поради ограничения финансов ресурс.</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782B12">
        <w:rPr>
          <w:rFonts w:ascii="Times New Roman" w:hAnsi="Times New Roman" w:cs="Times New Roman"/>
        </w:rPr>
        <w:t xml:space="preserve">През 2017 г., по данни на </w:t>
      </w:r>
      <w:r w:rsidRPr="00C03298">
        <w:rPr>
          <w:rFonts w:ascii="Times New Roman" w:hAnsi="Times New Roman" w:cs="Times New Roman"/>
          <w:i/>
        </w:rPr>
        <w:t xml:space="preserve">World Travel &amp; </w:t>
      </w:r>
      <w:proofErr w:type="spellStart"/>
      <w:r w:rsidRPr="00C03298">
        <w:rPr>
          <w:rFonts w:ascii="Times New Roman" w:hAnsi="Times New Roman" w:cs="Times New Roman"/>
          <w:i/>
        </w:rPr>
        <w:t>Tourism</w:t>
      </w:r>
      <w:proofErr w:type="spellEnd"/>
      <w:r w:rsidRPr="00C03298">
        <w:rPr>
          <w:rFonts w:ascii="Times New Roman" w:hAnsi="Times New Roman" w:cs="Times New Roman"/>
          <w:i/>
        </w:rPr>
        <w:t xml:space="preserve"> </w:t>
      </w:r>
      <w:proofErr w:type="spellStart"/>
      <w:r w:rsidRPr="00C03298">
        <w:rPr>
          <w:rFonts w:ascii="Times New Roman" w:hAnsi="Times New Roman" w:cs="Times New Roman"/>
          <w:i/>
        </w:rPr>
        <w:t>Council</w:t>
      </w:r>
      <w:proofErr w:type="spellEnd"/>
      <w:r w:rsidRPr="00782B12">
        <w:rPr>
          <w:rFonts w:ascii="Times New Roman" w:hAnsi="Times New Roman" w:cs="Times New Roman"/>
        </w:rPr>
        <w:t xml:space="preserve">, </w:t>
      </w:r>
      <w:r w:rsidRPr="003A29C6">
        <w:rPr>
          <w:rFonts w:ascii="Times New Roman" w:eastAsia="Calibri" w:hAnsi="Times New Roman" w:cs="Times New Roman"/>
          <w:b/>
          <w:color w:val="365F91"/>
          <w:lang w:eastAsia="en-US"/>
        </w:rPr>
        <w:t>туризмът</w:t>
      </w:r>
      <w:r w:rsidRPr="00782B12">
        <w:rPr>
          <w:rFonts w:ascii="Times New Roman" w:hAnsi="Times New Roman" w:cs="Times New Roman"/>
        </w:rPr>
        <w:t xml:space="preserve"> допринася пряко за 3.1% от БВП и 2.9% от заетостта (с 90 хил. работни места), като за последните десет години приносът на сектора намалява съответно с 0.3 процентни пункта (във формирането на БВП) и 0.2 процентни пункта (в заетостта). </w:t>
      </w:r>
      <w:r>
        <w:rPr>
          <w:rFonts w:ascii="Times New Roman" w:hAnsi="Times New Roman" w:cs="Times New Roman"/>
        </w:rPr>
        <w:t xml:space="preserve">При това тенденцията на намаление се реализира на фона на значителния отлив на туристи от конкурентни пазари (напр. Турция) в последните години. </w:t>
      </w:r>
      <w:r w:rsidRPr="00782B12">
        <w:rPr>
          <w:rFonts w:ascii="Times New Roman" w:hAnsi="Times New Roman" w:cs="Times New Roman"/>
        </w:rPr>
        <w:t xml:space="preserve">Общият принос на сектора, заедно с непреките ефекти в свързани индустрии, се оценява на 11.5% от БВП </w:t>
      </w:r>
      <w:r>
        <w:rPr>
          <w:rFonts w:ascii="Times New Roman" w:hAnsi="Times New Roman" w:cs="Times New Roman"/>
        </w:rPr>
        <w:t>през 2017 г</w:t>
      </w:r>
      <w:r w:rsidRPr="00782B12">
        <w:rPr>
          <w:rFonts w:ascii="Times New Roman" w:hAnsi="Times New Roman" w:cs="Times New Roman"/>
        </w:rPr>
        <w:t>.</w:t>
      </w:r>
      <w:r>
        <w:rPr>
          <w:rFonts w:ascii="Times New Roman" w:hAnsi="Times New Roman" w:cs="Times New Roman"/>
        </w:rPr>
        <w:t xml:space="preserve">, което поставя България на 72-ро място в света по относителен размер на туристическия сектор. Генерираните в сектора и свързаните индустрии работни места </w:t>
      </w:r>
      <w:r w:rsidRPr="00782B12">
        <w:rPr>
          <w:rFonts w:ascii="Times New Roman" w:hAnsi="Times New Roman" w:cs="Times New Roman"/>
        </w:rPr>
        <w:t>(336 хил.)</w:t>
      </w:r>
      <w:r>
        <w:rPr>
          <w:rFonts w:ascii="Times New Roman" w:hAnsi="Times New Roman" w:cs="Times New Roman"/>
        </w:rPr>
        <w:t xml:space="preserve"> представляват</w:t>
      </w:r>
      <w:r w:rsidRPr="00782B12">
        <w:rPr>
          <w:rFonts w:ascii="Times New Roman" w:hAnsi="Times New Roman" w:cs="Times New Roman"/>
        </w:rPr>
        <w:t xml:space="preserve"> 10.7% от заетостта </w:t>
      </w:r>
      <w:r>
        <w:rPr>
          <w:rFonts w:ascii="Times New Roman" w:hAnsi="Times New Roman" w:cs="Times New Roman"/>
        </w:rPr>
        <w:t xml:space="preserve">в цялата икономика и определят на страната 77-мо място в света. </w:t>
      </w:r>
      <w:r w:rsidRPr="00374701">
        <w:rPr>
          <w:rFonts w:ascii="Times New Roman" w:hAnsi="Times New Roman" w:cs="Times New Roman"/>
        </w:rPr>
        <w:t xml:space="preserve">Прогнозите на </w:t>
      </w:r>
      <w:r w:rsidRPr="00374701">
        <w:rPr>
          <w:rFonts w:ascii="Times New Roman" w:hAnsi="Times New Roman" w:cs="Times New Roman"/>
          <w:i/>
        </w:rPr>
        <w:t xml:space="preserve">World Travel &amp; </w:t>
      </w:r>
      <w:proofErr w:type="spellStart"/>
      <w:r w:rsidRPr="00374701">
        <w:rPr>
          <w:rFonts w:ascii="Times New Roman" w:hAnsi="Times New Roman" w:cs="Times New Roman"/>
          <w:i/>
        </w:rPr>
        <w:t>Tourism</w:t>
      </w:r>
      <w:proofErr w:type="spellEnd"/>
      <w:r w:rsidRPr="00374701">
        <w:rPr>
          <w:rFonts w:ascii="Times New Roman" w:hAnsi="Times New Roman" w:cs="Times New Roman"/>
          <w:i/>
        </w:rPr>
        <w:t xml:space="preserve"> </w:t>
      </w:r>
      <w:proofErr w:type="spellStart"/>
      <w:r w:rsidRPr="00374701">
        <w:rPr>
          <w:rFonts w:ascii="Times New Roman" w:hAnsi="Times New Roman" w:cs="Times New Roman"/>
          <w:i/>
        </w:rPr>
        <w:t>Council</w:t>
      </w:r>
      <w:proofErr w:type="spellEnd"/>
      <w:r w:rsidRPr="00374701">
        <w:rPr>
          <w:rFonts w:ascii="Times New Roman" w:hAnsi="Times New Roman" w:cs="Times New Roman"/>
        </w:rPr>
        <w:t xml:space="preserve"> сочат, че – при непроменени политики – страната ще загуби допълнително позиции, като по размер на оценения растеж на индустрията за следващия десетгодишен период България е класирана на 116-то място в света.</w:t>
      </w:r>
    </w:p>
    <w:p w:rsidR="00AE0F90" w:rsidRPr="00140185" w:rsidRDefault="00AE0F90" w:rsidP="00AE0F90">
      <w:pPr>
        <w:pStyle w:val="ListParagraph"/>
        <w:spacing w:line="269" w:lineRule="auto"/>
        <w:ind w:left="0" w:firstLine="0"/>
        <w:contextualSpacing w:val="0"/>
        <w:jc w:val="both"/>
        <w:rPr>
          <w:rFonts w:ascii="Times New Roman" w:hAnsi="Times New Roman" w:cs="Times New Roman"/>
        </w:rPr>
      </w:pPr>
      <w:r w:rsidRPr="00897007">
        <w:rPr>
          <w:rFonts w:ascii="Times New Roman" w:hAnsi="Times New Roman" w:cs="Times New Roman"/>
        </w:rPr>
        <w:t xml:space="preserve">Развитието на туризма се оценява като </w:t>
      </w:r>
      <w:r>
        <w:rPr>
          <w:rFonts w:ascii="Times New Roman" w:hAnsi="Times New Roman" w:cs="Times New Roman"/>
        </w:rPr>
        <w:t>значителен</w:t>
      </w:r>
      <w:r w:rsidRPr="00897007">
        <w:rPr>
          <w:rFonts w:ascii="Times New Roman" w:hAnsi="Times New Roman" w:cs="Times New Roman"/>
        </w:rPr>
        <w:t xml:space="preserve"> неоползотворен потенциал на българските региони. </w:t>
      </w:r>
      <w:r w:rsidRPr="00C03298">
        <w:rPr>
          <w:rFonts w:ascii="Times New Roman" w:hAnsi="Times New Roman" w:cs="Times New Roman"/>
        </w:rPr>
        <w:t>България разполага с голямо много</w:t>
      </w:r>
      <w:r>
        <w:rPr>
          <w:rFonts w:ascii="Times New Roman" w:hAnsi="Times New Roman" w:cs="Times New Roman"/>
        </w:rPr>
        <w:t xml:space="preserve">образие от туристически ресурси, които обаче не се валоризират пълноценно. </w:t>
      </w:r>
      <w:r w:rsidRPr="001B6B64">
        <w:rPr>
          <w:rFonts w:ascii="Times New Roman" w:hAnsi="Times New Roman" w:cs="Times New Roman"/>
        </w:rPr>
        <w:t>Страната притежава богато културно наследство – около 40 000 регистрирани обекта от</w:t>
      </w:r>
      <w:r>
        <w:rPr>
          <w:rFonts w:ascii="Times New Roman" w:hAnsi="Times New Roman" w:cs="Times New Roman"/>
        </w:rPr>
        <w:t xml:space="preserve"> </w:t>
      </w:r>
      <w:r w:rsidRPr="001B6B64">
        <w:rPr>
          <w:rFonts w:ascii="Times New Roman" w:hAnsi="Times New Roman" w:cs="Times New Roman"/>
        </w:rPr>
        <w:t>различни исторически епохи, от които над 10 000 с национално значение</w:t>
      </w:r>
      <w:r>
        <w:rPr>
          <w:rFonts w:ascii="Times New Roman" w:hAnsi="Times New Roman" w:cs="Times New Roman"/>
        </w:rPr>
        <w:t>.</w:t>
      </w:r>
      <w:r w:rsidRPr="001B6B64">
        <w:rPr>
          <w:rFonts w:ascii="Times New Roman" w:hAnsi="Times New Roman" w:cs="Times New Roman"/>
        </w:rPr>
        <w:t xml:space="preserve"> В Списъка на световното културно и природно наследство на UNESCO са включени 7 културни и два природни обекта от България, </w:t>
      </w:r>
      <w:r>
        <w:rPr>
          <w:rFonts w:ascii="Times New Roman" w:hAnsi="Times New Roman" w:cs="Times New Roman"/>
        </w:rPr>
        <w:t xml:space="preserve">а </w:t>
      </w:r>
      <w:r w:rsidRPr="001B6B64">
        <w:rPr>
          <w:rFonts w:ascii="Times New Roman" w:hAnsi="Times New Roman" w:cs="Times New Roman"/>
        </w:rPr>
        <w:t>още 16 очакват номинация. В страната се намират и 5 обекта на недвижимото културно наследство.</w:t>
      </w:r>
      <w:r>
        <w:rPr>
          <w:rFonts w:ascii="Times New Roman" w:hAnsi="Times New Roman" w:cs="Times New Roman"/>
        </w:rPr>
        <w:t xml:space="preserve"> </w:t>
      </w:r>
      <w:r w:rsidRPr="001B6B64">
        <w:rPr>
          <w:rFonts w:ascii="Times New Roman" w:hAnsi="Times New Roman" w:cs="Times New Roman"/>
        </w:rPr>
        <w:t xml:space="preserve">България е на трето място в </w:t>
      </w:r>
      <w:r>
        <w:rPr>
          <w:rFonts w:ascii="Times New Roman" w:hAnsi="Times New Roman" w:cs="Times New Roman"/>
        </w:rPr>
        <w:t xml:space="preserve">ЕС </w:t>
      </w:r>
      <w:r w:rsidRPr="001B6B64">
        <w:rPr>
          <w:rFonts w:ascii="Times New Roman" w:hAnsi="Times New Roman" w:cs="Times New Roman"/>
        </w:rPr>
        <w:t xml:space="preserve">по брой археологически културни ценности. В страната </w:t>
      </w:r>
      <w:r w:rsidRPr="001B6B64">
        <w:rPr>
          <w:rFonts w:ascii="Times New Roman" w:hAnsi="Times New Roman" w:cs="Times New Roman"/>
        </w:rPr>
        <w:lastRenderedPageBreak/>
        <w:t xml:space="preserve">има 33 археологически и 10 етнографски, архитектурни и исторически резервата, разкрити са около 1 000 гробни съоръжения и тракийски съкровища. </w:t>
      </w:r>
      <w:r>
        <w:rPr>
          <w:rFonts w:ascii="Times New Roman" w:hAnsi="Times New Roman" w:cs="Times New Roman"/>
        </w:rPr>
        <w:t xml:space="preserve">Същевременно, страната има и богато природно наследство и биоразнообразие – на територията на </w:t>
      </w:r>
      <w:r w:rsidRPr="00374701">
        <w:rPr>
          <w:rFonts w:ascii="Times New Roman" w:hAnsi="Times New Roman" w:cs="Times New Roman"/>
        </w:rPr>
        <w:t>страната има 55 резервата, 364 природни забележителности, 3 национални и 11 природни парка</w:t>
      </w:r>
      <w:r>
        <w:rPr>
          <w:rFonts w:ascii="Times New Roman" w:hAnsi="Times New Roman" w:cs="Times New Roman"/>
        </w:rPr>
        <w:t>;</w:t>
      </w:r>
      <w:r w:rsidRPr="00374701">
        <w:rPr>
          <w:rFonts w:ascii="Times New Roman" w:hAnsi="Times New Roman" w:cs="Times New Roman"/>
        </w:rPr>
        <w:t xml:space="preserve"> </w:t>
      </w:r>
      <w:r>
        <w:rPr>
          <w:rFonts w:ascii="Times New Roman" w:hAnsi="Times New Roman" w:cs="Times New Roman"/>
        </w:rPr>
        <w:t>о</w:t>
      </w:r>
      <w:r w:rsidRPr="00374701">
        <w:rPr>
          <w:rFonts w:ascii="Times New Roman" w:hAnsi="Times New Roman" w:cs="Times New Roman"/>
        </w:rPr>
        <w:t>бщият брой на защитените територии и обекти е 1 012, а защитените видове са 574. Фестивалите и събитията също представляват значим потенциал за развитие на туризма. В Регистъра на туристическите фестивали и събития на Министерството на туризма са вписани 1 278 събития и фестивали. От тях с международно значение са 99, с национално – 358, с регионално – 279, с общинско – 43 и с местно – 505.</w:t>
      </w:r>
      <w:r>
        <w:rPr>
          <w:rFonts w:ascii="Times New Roman" w:hAnsi="Times New Roman" w:cs="Times New Roman"/>
        </w:rPr>
        <w:t xml:space="preserve"> </w:t>
      </w:r>
      <w:r w:rsidRPr="00374701">
        <w:rPr>
          <w:rFonts w:ascii="Times New Roman" w:hAnsi="Times New Roman" w:cs="Times New Roman"/>
        </w:rPr>
        <w:t xml:space="preserve">В страната има официално обявени 143 курорта, от които 54 са </w:t>
      </w:r>
      <w:proofErr w:type="spellStart"/>
      <w:r w:rsidRPr="00374701">
        <w:rPr>
          <w:rFonts w:ascii="Times New Roman" w:hAnsi="Times New Roman" w:cs="Times New Roman"/>
        </w:rPr>
        <w:t>балнеолечебни</w:t>
      </w:r>
      <w:proofErr w:type="spellEnd"/>
      <w:r w:rsidRPr="00374701">
        <w:rPr>
          <w:rFonts w:ascii="Times New Roman" w:hAnsi="Times New Roman" w:cs="Times New Roman"/>
        </w:rPr>
        <w:t>, 55 климатични планински и 34 климатични морски</w:t>
      </w:r>
      <w:r w:rsidRPr="00374701">
        <w:rPr>
          <w:rFonts w:ascii="Times New Roman" w:hAnsi="Times New Roman" w:cs="Times New Roman"/>
          <w:vertAlign w:val="superscript"/>
        </w:rPr>
        <w:footnoteReference w:id="101"/>
      </w:r>
      <w:r w:rsidRPr="00374701">
        <w:rPr>
          <w:rFonts w:ascii="Times New Roman" w:hAnsi="Times New Roman" w:cs="Times New Roman"/>
          <w:vertAlign w:val="superscript"/>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Н</w:t>
      </w:r>
      <w:r w:rsidRPr="00F75EA3">
        <w:rPr>
          <w:rFonts w:ascii="Times New Roman" w:hAnsi="Times New Roman" w:cs="Times New Roman"/>
        </w:rPr>
        <w:t xml:space="preserve">ационалният туристически продукт </w:t>
      </w:r>
      <w:r>
        <w:rPr>
          <w:rFonts w:ascii="Times New Roman" w:hAnsi="Times New Roman" w:cs="Times New Roman"/>
        </w:rPr>
        <w:t xml:space="preserve">продължава да </w:t>
      </w:r>
      <w:r w:rsidRPr="00F75EA3">
        <w:rPr>
          <w:rFonts w:ascii="Times New Roman" w:hAnsi="Times New Roman" w:cs="Times New Roman"/>
        </w:rPr>
        <w:t xml:space="preserve">се доминира от масовия туризъм (морски и планински), </w:t>
      </w:r>
      <w:r>
        <w:rPr>
          <w:rFonts w:ascii="Times New Roman" w:hAnsi="Times New Roman" w:cs="Times New Roman"/>
        </w:rPr>
        <w:t xml:space="preserve">който обаче се характеризира с относително кратък сезон и претоварване на туристическите ресурси, а по-нататъшното му развитие е възпрепятствано от недостатъчно развитата </w:t>
      </w:r>
      <w:r w:rsidR="00AA3CB5">
        <w:rPr>
          <w:rFonts w:ascii="Times New Roman" w:hAnsi="Times New Roman" w:cs="Times New Roman"/>
        </w:rPr>
        <w:t xml:space="preserve">техническа </w:t>
      </w:r>
      <w:r>
        <w:rPr>
          <w:rFonts w:ascii="Times New Roman" w:hAnsi="Times New Roman" w:cs="Times New Roman"/>
        </w:rPr>
        <w:t xml:space="preserve">инфраструктура, </w:t>
      </w:r>
      <w:r w:rsidRPr="00F75EA3">
        <w:rPr>
          <w:rFonts w:ascii="Times New Roman" w:hAnsi="Times New Roman" w:cs="Times New Roman"/>
        </w:rPr>
        <w:t>проблемите</w:t>
      </w:r>
      <w:r>
        <w:rPr>
          <w:rFonts w:ascii="Times New Roman" w:hAnsi="Times New Roman" w:cs="Times New Roman"/>
        </w:rPr>
        <w:t xml:space="preserve"> </w:t>
      </w:r>
      <w:r w:rsidRPr="00F75EA3">
        <w:rPr>
          <w:rFonts w:ascii="Times New Roman" w:hAnsi="Times New Roman" w:cs="Times New Roman"/>
        </w:rPr>
        <w:t xml:space="preserve">с </w:t>
      </w:r>
      <w:r w:rsidR="00AA3CB5">
        <w:rPr>
          <w:rFonts w:ascii="Times New Roman" w:hAnsi="Times New Roman" w:cs="Times New Roman"/>
        </w:rPr>
        <w:t xml:space="preserve">презастрояването, </w:t>
      </w:r>
      <w:r w:rsidRPr="00F75EA3">
        <w:rPr>
          <w:rFonts w:ascii="Times New Roman" w:hAnsi="Times New Roman" w:cs="Times New Roman"/>
        </w:rPr>
        <w:t>осигуряването  на  безопасността  и  сигурността  на туристите</w:t>
      </w:r>
      <w:r>
        <w:rPr>
          <w:rFonts w:ascii="Times New Roman" w:hAnsi="Times New Roman" w:cs="Times New Roman"/>
        </w:rPr>
        <w:t>,</w:t>
      </w:r>
      <w:r w:rsidRPr="00F75EA3">
        <w:t xml:space="preserve"> </w:t>
      </w:r>
      <w:r w:rsidRPr="00F75EA3">
        <w:rPr>
          <w:rFonts w:ascii="Times New Roman" w:hAnsi="Times New Roman" w:cs="Times New Roman"/>
        </w:rPr>
        <w:t>замърсяването на околната среда и водите</w:t>
      </w:r>
      <w:r>
        <w:rPr>
          <w:rFonts w:ascii="Times New Roman" w:hAnsi="Times New Roman" w:cs="Times New Roman"/>
        </w:rPr>
        <w:t xml:space="preserve"> и др.</w:t>
      </w:r>
    </w:p>
    <w:p w:rsidR="00AE0F90" w:rsidRPr="003008B7" w:rsidRDefault="00AE0F90" w:rsidP="00AE0F90">
      <w:pPr>
        <w:pStyle w:val="ListParagraph"/>
        <w:spacing w:line="269" w:lineRule="auto"/>
        <w:ind w:left="0" w:firstLine="0"/>
        <w:contextualSpacing w:val="0"/>
        <w:jc w:val="both"/>
        <w:rPr>
          <w:rFonts w:ascii="Times New Roman" w:hAnsi="Times New Roman" w:cs="Times New Roman"/>
          <w:highlight w:val="yellow"/>
        </w:rPr>
      </w:pPr>
      <w:r>
        <w:rPr>
          <w:rFonts w:ascii="Times New Roman" w:hAnsi="Times New Roman" w:cs="Times New Roman"/>
        </w:rPr>
        <w:t xml:space="preserve">Според Национална стратегия </w:t>
      </w:r>
      <w:r w:rsidRPr="009034A1">
        <w:rPr>
          <w:rFonts w:ascii="Times New Roman" w:hAnsi="Times New Roman" w:cs="Times New Roman"/>
        </w:rPr>
        <w:t xml:space="preserve">за устойчиво развитие на туризма в Република България 2014-2030 г. </w:t>
      </w:r>
      <w:r>
        <w:rPr>
          <w:rFonts w:ascii="Times New Roman" w:hAnsi="Times New Roman" w:cs="Times New Roman"/>
        </w:rPr>
        <w:t xml:space="preserve">(актуализирана през 2017 г.), в продуктовата палитра на страната има пет зрели продукта, в които продуктовата линия е с наситено търсене и с продължаващи инвестиции, както и още осем продукта, които са или в начална фаза на въвеждане, или във фаза на растеж. Към зрелите продукти, освен масовите морски и планински, са включени хазартния, ловния и деловия туристически продукти. Във фаза на въвеждане са културно-познавателния, религиозния и винения туристически продукти, а във фаза на растеж, в които продуктовата линия се търси и се инвестира усилено, са екологичния, здравния, фестивално-събитийния, спортния и голф туристическите продукти. Фокусирането на политиката върху тези продукти – и особено върху специализираните и </w:t>
      </w:r>
      <w:proofErr w:type="spellStart"/>
      <w:r>
        <w:rPr>
          <w:rFonts w:ascii="Times New Roman" w:hAnsi="Times New Roman" w:cs="Times New Roman"/>
        </w:rPr>
        <w:t>нишови</w:t>
      </w:r>
      <w:proofErr w:type="spellEnd"/>
      <w:r>
        <w:rPr>
          <w:rFonts w:ascii="Times New Roman" w:hAnsi="Times New Roman" w:cs="Times New Roman"/>
        </w:rPr>
        <w:t xml:space="preserve"> продукти, в които страната има потенциал – е добра изходна точка за развитието на страната като туристическа дестинация. Качествен скок в националната стратегия е и следването на стратегически подход за специализация на всеки един от деветте туристически района в страната в доставянето на онези туристически продукти, за които са налице техни конкурентни предимства. Реализацията на тези намерения обаче, поне от гледна точка на обхванати действия в плана за действие за периода 2017-2020 г. в изпълнение на стратегията и осигурено финансиране, не изглежда обезпечена. Конкретните мерки за специализиране на туристическите райони в предварително избраните продукти предстои да бъдат разработени от специални о</w:t>
      </w:r>
      <w:r w:rsidRPr="00F60ED0">
        <w:rPr>
          <w:rFonts w:ascii="Times New Roman" w:hAnsi="Times New Roman" w:cs="Times New Roman"/>
        </w:rPr>
        <w:t xml:space="preserve">рганизации за </w:t>
      </w:r>
      <w:r>
        <w:rPr>
          <w:rFonts w:ascii="Times New Roman" w:hAnsi="Times New Roman" w:cs="Times New Roman"/>
        </w:rPr>
        <w:t>у</w:t>
      </w:r>
      <w:r w:rsidRPr="00F60ED0">
        <w:rPr>
          <w:rFonts w:ascii="Times New Roman" w:hAnsi="Times New Roman" w:cs="Times New Roman"/>
        </w:rPr>
        <w:t xml:space="preserve">правление на </w:t>
      </w:r>
      <w:r>
        <w:rPr>
          <w:rFonts w:ascii="Times New Roman" w:hAnsi="Times New Roman" w:cs="Times New Roman"/>
        </w:rPr>
        <w:t>т</w:t>
      </w:r>
      <w:r w:rsidRPr="00F60ED0">
        <w:rPr>
          <w:rFonts w:ascii="Times New Roman" w:hAnsi="Times New Roman" w:cs="Times New Roman"/>
        </w:rPr>
        <w:t xml:space="preserve">уристическите </w:t>
      </w:r>
      <w:r>
        <w:rPr>
          <w:rFonts w:ascii="Times New Roman" w:hAnsi="Times New Roman" w:cs="Times New Roman"/>
        </w:rPr>
        <w:t>р</w:t>
      </w:r>
      <w:r w:rsidRPr="00F60ED0">
        <w:rPr>
          <w:rFonts w:ascii="Times New Roman" w:hAnsi="Times New Roman" w:cs="Times New Roman"/>
        </w:rPr>
        <w:t>айони</w:t>
      </w:r>
      <w:r>
        <w:rPr>
          <w:rFonts w:ascii="Times New Roman" w:hAnsi="Times New Roman" w:cs="Times New Roman"/>
        </w:rPr>
        <w:t xml:space="preserve">, за чието институционално изграждане Министерството на туризма изпълнява проект с крайна дата 2021 г. Финансирането на изпълнението на самите мерки е предвидено по </w:t>
      </w:r>
      <w:r w:rsidR="00F31DEC">
        <w:rPr>
          <w:rFonts w:ascii="Times New Roman" w:hAnsi="Times New Roman" w:cs="Times New Roman"/>
        </w:rPr>
        <w:t>същия</w:t>
      </w:r>
      <w:r>
        <w:rPr>
          <w:rFonts w:ascii="Times New Roman" w:hAnsi="Times New Roman" w:cs="Times New Roman"/>
        </w:rPr>
        <w:t xml:space="preserve"> проект на Министерството, който е на обща стойност едва 1.8 млн. лв.</w:t>
      </w:r>
    </w:p>
    <w:p w:rsidR="00AE0F90" w:rsidRPr="00D00731" w:rsidRDefault="00AE0F90" w:rsidP="00AE0F90">
      <w:pPr>
        <w:pStyle w:val="Heading3"/>
        <w:numPr>
          <w:ilvl w:val="2"/>
          <w:numId w:val="16"/>
        </w:numPr>
        <w:rPr>
          <w:color w:val="1F497D"/>
        </w:rPr>
      </w:pPr>
      <w:bookmarkStart w:id="32" w:name="_Toc791818"/>
      <w:r w:rsidRPr="00D00731">
        <w:rPr>
          <w:color w:val="1F497D"/>
        </w:rPr>
        <w:t>Ресурсна и енергийна ефективност</w:t>
      </w:r>
      <w:bookmarkEnd w:id="32"/>
    </w:p>
    <w:p w:rsidR="00AE0F90" w:rsidRPr="00443150" w:rsidRDefault="00AE0F90" w:rsidP="00AE0F90">
      <w:pPr>
        <w:pStyle w:val="ListParagraph"/>
        <w:spacing w:line="269" w:lineRule="auto"/>
        <w:ind w:left="0" w:firstLine="0"/>
        <w:contextualSpacing w:val="0"/>
        <w:jc w:val="both"/>
        <w:rPr>
          <w:rFonts w:ascii="Times New Roman" w:hAnsi="Times New Roman" w:cs="Times New Roman"/>
          <w:i/>
        </w:rPr>
      </w:pPr>
      <w:r w:rsidRPr="00443150">
        <w:rPr>
          <w:rFonts w:ascii="Times New Roman" w:hAnsi="Times New Roman" w:cs="Times New Roman"/>
          <w:i/>
        </w:rPr>
        <w:t>Ресурсната интензивност на икономиката намалява, но с изоставащи те</w:t>
      </w:r>
      <w:r>
        <w:rPr>
          <w:rFonts w:ascii="Times New Roman" w:hAnsi="Times New Roman" w:cs="Times New Roman"/>
          <w:i/>
        </w:rPr>
        <w:t>мпове спрямо отбелязваните в ЕС, като</w:t>
      </w:r>
      <w:r w:rsidRPr="00443150">
        <w:rPr>
          <w:rFonts w:ascii="Times New Roman" w:hAnsi="Times New Roman" w:cs="Times New Roman"/>
          <w:i/>
        </w:rPr>
        <w:t xml:space="preserve"> разликата между страната и общността нараства допълнително</w:t>
      </w:r>
      <w:r>
        <w:rPr>
          <w:rFonts w:ascii="Times New Roman" w:hAnsi="Times New Roman" w:cs="Times New Roman"/>
          <w:i/>
        </w:rPr>
        <w:t>, а Румъния успява да изпревари страната на предпоследното място в ЕС.</w:t>
      </w:r>
      <w:r w:rsidRPr="007C1360">
        <w:rPr>
          <w:rFonts w:ascii="Times New Roman" w:hAnsi="Times New Roman" w:cs="Times New Roman"/>
          <w:i/>
        </w:rPr>
        <w:t xml:space="preserve"> Въпреки </w:t>
      </w:r>
      <w:r>
        <w:rPr>
          <w:rFonts w:ascii="Times New Roman" w:hAnsi="Times New Roman" w:cs="Times New Roman"/>
          <w:i/>
        </w:rPr>
        <w:t>отбелязано скромно подобрение,</w:t>
      </w:r>
      <w:r w:rsidRPr="007C1360">
        <w:rPr>
          <w:rFonts w:ascii="Times New Roman" w:hAnsi="Times New Roman" w:cs="Times New Roman"/>
          <w:i/>
        </w:rPr>
        <w:t xml:space="preserve"> България остава с най-енергоемката икономика в ЕС, изразходвайки 3.6 пъти повече енергийни ресурси за производство на единица БВП от средния енергиен разход в ЕС. </w:t>
      </w:r>
      <w:r>
        <w:rPr>
          <w:rFonts w:ascii="Times New Roman" w:hAnsi="Times New Roman" w:cs="Times New Roman"/>
          <w:i/>
        </w:rPr>
        <w:t xml:space="preserve">Усилията за разнообразяване на енергийния микс на страната и намаляване на зависимостта от внос на енергийни ресурси се забавят в последните години след постигнато значително подобрение в периода 2007-2013 г. </w:t>
      </w:r>
      <w:r w:rsidRPr="007C1360">
        <w:rPr>
          <w:rFonts w:ascii="Times New Roman" w:hAnsi="Times New Roman" w:cs="Times New Roman"/>
          <w:i/>
        </w:rPr>
        <w:t xml:space="preserve">През 2016 г. емисиите на парникови газове </w:t>
      </w:r>
      <w:r>
        <w:rPr>
          <w:rFonts w:ascii="Times New Roman" w:hAnsi="Times New Roman" w:cs="Times New Roman"/>
          <w:i/>
        </w:rPr>
        <w:t xml:space="preserve">са на </w:t>
      </w:r>
      <w:r w:rsidRPr="007C1360">
        <w:rPr>
          <w:rFonts w:ascii="Times New Roman" w:hAnsi="Times New Roman" w:cs="Times New Roman"/>
          <w:i/>
        </w:rPr>
        <w:t>43% под нивото им от базисната 1990 г.</w:t>
      </w:r>
      <w:r>
        <w:rPr>
          <w:rFonts w:ascii="Times New Roman" w:hAnsi="Times New Roman" w:cs="Times New Roman"/>
          <w:i/>
        </w:rPr>
        <w:t xml:space="preserve">, което дава увереност, че </w:t>
      </w:r>
      <w:r w:rsidRPr="00D84A05">
        <w:rPr>
          <w:rFonts w:ascii="Times New Roman" w:hAnsi="Times New Roman" w:cs="Times New Roman"/>
          <w:i/>
        </w:rPr>
        <w:t xml:space="preserve">страната </w:t>
      </w:r>
      <w:r>
        <w:rPr>
          <w:rFonts w:ascii="Times New Roman" w:hAnsi="Times New Roman" w:cs="Times New Roman"/>
          <w:i/>
        </w:rPr>
        <w:t xml:space="preserve">ще </w:t>
      </w:r>
      <w:r w:rsidRPr="007C1360">
        <w:rPr>
          <w:rFonts w:ascii="Times New Roman" w:hAnsi="Times New Roman" w:cs="Times New Roman"/>
          <w:i/>
        </w:rPr>
        <w:t xml:space="preserve"> постигне целта си за 2020 г. за емисиите с</w:t>
      </w:r>
      <w:r>
        <w:rPr>
          <w:rFonts w:ascii="Times New Roman" w:hAnsi="Times New Roman" w:cs="Times New Roman"/>
          <w:i/>
        </w:rPr>
        <w:t>ъс значителен</w:t>
      </w:r>
      <w:r w:rsidRPr="007C1360">
        <w:rPr>
          <w:rFonts w:ascii="Times New Roman" w:hAnsi="Times New Roman" w:cs="Times New Roman"/>
          <w:i/>
        </w:rPr>
        <w:t xml:space="preserve"> марж.</w:t>
      </w:r>
      <w:r>
        <w:rPr>
          <w:rFonts w:ascii="Times New Roman" w:hAnsi="Times New Roman" w:cs="Times New Roman"/>
          <w:i/>
        </w:rPr>
        <w:t xml:space="preserve"> </w:t>
      </w:r>
      <w:r w:rsidRPr="007C1360">
        <w:rPr>
          <w:rFonts w:ascii="Times New Roman" w:hAnsi="Times New Roman" w:cs="Times New Roman"/>
          <w:i/>
        </w:rPr>
        <w:t xml:space="preserve">Емисиите на </w:t>
      </w:r>
      <w:r>
        <w:rPr>
          <w:rFonts w:ascii="Times New Roman" w:hAnsi="Times New Roman" w:cs="Times New Roman"/>
          <w:i/>
        </w:rPr>
        <w:t>парникови газове</w:t>
      </w:r>
      <w:r w:rsidRPr="007C1360">
        <w:rPr>
          <w:rFonts w:ascii="Times New Roman" w:hAnsi="Times New Roman" w:cs="Times New Roman"/>
          <w:i/>
        </w:rPr>
        <w:t xml:space="preserve"> на глава от населението в България остават под средното за ЕС</w:t>
      </w:r>
      <w:r>
        <w:rPr>
          <w:rFonts w:ascii="Times New Roman" w:hAnsi="Times New Roman" w:cs="Times New Roman"/>
          <w:i/>
        </w:rPr>
        <w:t xml:space="preserve"> ниво. Въпреки това </w:t>
      </w:r>
      <w:r w:rsidRPr="007C1360">
        <w:rPr>
          <w:rFonts w:ascii="Times New Roman" w:hAnsi="Times New Roman" w:cs="Times New Roman"/>
          <w:i/>
        </w:rPr>
        <w:t xml:space="preserve">България </w:t>
      </w:r>
      <w:r>
        <w:rPr>
          <w:rFonts w:ascii="Times New Roman" w:hAnsi="Times New Roman" w:cs="Times New Roman"/>
          <w:i/>
        </w:rPr>
        <w:t>продължава да е</w:t>
      </w:r>
      <w:r w:rsidRPr="007C1360">
        <w:rPr>
          <w:rFonts w:ascii="Times New Roman" w:hAnsi="Times New Roman" w:cs="Times New Roman"/>
          <w:i/>
        </w:rPr>
        <w:t xml:space="preserve"> най-въглеродно интензивната държава – членка на ЕС</w:t>
      </w:r>
      <w:r>
        <w:rPr>
          <w:rFonts w:ascii="Times New Roman" w:hAnsi="Times New Roman" w:cs="Times New Roman"/>
          <w:i/>
        </w:rPr>
        <w:t>.</w:t>
      </w:r>
      <w:r w:rsidRPr="007C1360">
        <w:rPr>
          <w:rFonts w:ascii="Times New Roman" w:hAnsi="Times New Roman" w:cs="Times New Roman"/>
          <w:i/>
        </w:rPr>
        <w:t xml:space="preserve"> </w:t>
      </w:r>
      <w:r>
        <w:rPr>
          <w:rFonts w:ascii="Times New Roman" w:hAnsi="Times New Roman" w:cs="Times New Roman"/>
          <w:i/>
        </w:rPr>
        <w:lastRenderedPageBreak/>
        <w:t>Ниската</w:t>
      </w:r>
      <w:r w:rsidRPr="00443150">
        <w:rPr>
          <w:rFonts w:ascii="Times New Roman" w:hAnsi="Times New Roman" w:cs="Times New Roman"/>
          <w:i/>
        </w:rPr>
        <w:t xml:space="preserve"> ресурсна </w:t>
      </w:r>
      <w:r>
        <w:rPr>
          <w:rFonts w:ascii="Times New Roman" w:hAnsi="Times New Roman" w:cs="Times New Roman"/>
          <w:i/>
        </w:rPr>
        <w:t xml:space="preserve">– и в частност енергийна – </w:t>
      </w:r>
      <w:r w:rsidRPr="00443150">
        <w:rPr>
          <w:rFonts w:ascii="Times New Roman" w:hAnsi="Times New Roman" w:cs="Times New Roman"/>
          <w:i/>
        </w:rPr>
        <w:t>ефективност</w:t>
      </w:r>
      <w:r>
        <w:rPr>
          <w:rFonts w:ascii="Times New Roman" w:hAnsi="Times New Roman" w:cs="Times New Roman"/>
          <w:i/>
        </w:rPr>
        <w:t xml:space="preserve"> остава водещо</w:t>
      </w:r>
      <w:r w:rsidRPr="00443150">
        <w:rPr>
          <w:rFonts w:ascii="Times New Roman" w:hAnsi="Times New Roman" w:cs="Times New Roman"/>
          <w:i/>
        </w:rPr>
        <w:t xml:space="preserve"> препятстви</w:t>
      </w:r>
      <w:r>
        <w:rPr>
          <w:rFonts w:ascii="Times New Roman" w:hAnsi="Times New Roman" w:cs="Times New Roman"/>
          <w:i/>
        </w:rPr>
        <w:t>е</w:t>
      </w:r>
      <w:r w:rsidRPr="00443150">
        <w:rPr>
          <w:rFonts w:ascii="Times New Roman" w:hAnsi="Times New Roman" w:cs="Times New Roman"/>
          <w:i/>
        </w:rPr>
        <w:t xml:space="preserve"> пред конкурентоспособността на икономиката</w:t>
      </w:r>
      <w:r>
        <w:rPr>
          <w:rFonts w:ascii="Times New Roman" w:hAnsi="Times New Roman" w:cs="Times New Roman"/>
          <w:i/>
        </w:rPr>
        <w:t xml:space="preserve"> и </w:t>
      </w:r>
      <w:r w:rsidRPr="00443150">
        <w:rPr>
          <w:rFonts w:ascii="Times New Roman" w:hAnsi="Times New Roman" w:cs="Times New Roman"/>
          <w:i/>
        </w:rPr>
        <w:t xml:space="preserve">устойчивото </w:t>
      </w:r>
      <w:r>
        <w:rPr>
          <w:rFonts w:ascii="Times New Roman" w:hAnsi="Times New Roman" w:cs="Times New Roman"/>
          <w:i/>
        </w:rPr>
        <w:t xml:space="preserve">й </w:t>
      </w:r>
      <w:r w:rsidRPr="00443150">
        <w:rPr>
          <w:rFonts w:ascii="Times New Roman" w:hAnsi="Times New Roman" w:cs="Times New Roman"/>
          <w:i/>
        </w:rPr>
        <w:t>развитие. Въпреки предприетите мерки за подкрепа на технологичното обновление на икономиката, финансирани и по оперативните програми, наблюдаваният напредък е крайно недостатъчен, което поставя въпроса за адекватност на обхвата на изпълняваните интервенции и/или тяхната ефективност.</w:t>
      </w:r>
    </w:p>
    <w:p w:rsidR="00AE0F90" w:rsidRDefault="00AE0F90" w:rsidP="00AE0F90">
      <w:pPr>
        <w:pStyle w:val="ListParagraph"/>
        <w:spacing w:line="269" w:lineRule="auto"/>
        <w:ind w:left="0" w:firstLine="0"/>
        <w:contextualSpacing w:val="0"/>
        <w:jc w:val="both"/>
        <w:rPr>
          <w:rFonts w:ascii="Times New Roman" w:hAnsi="Times New Roman" w:cs="Times New Roman"/>
          <w:lang w:val="en-US"/>
        </w:rPr>
      </w:pPr>
      <w:r>
        <w:rPr>
          <w:rFonts w:ascii="Times New Roman" w:hAnsi="Times New Roman" w:cs="Times New Roman"/>
        </w:rPr>
        <w:t xml:space="preserve">През последните десет години </w:t>
      </w:r>
      <w:r w:rsidRPr="001F3A37">
        <w:rPr>
          <w:rFonts w:ascii="Times New Roman" w:eastAsia="Calibri" w:hAnsi="Times New Roman" w:cs="Times New Roman"/>
          <w:b/>
          <w:color w:val="365F91"/>
          <w:lang w:eastAsia="en-US"/>
        </w:rPr>
        <w:t>ресурсната интензивност</w:t>
      </w:r>
      <w:r>
        <w:rPr>
          <w:rStyle w:val="FootnoteReference"/>
          <w:rFonts w:ascii="Times New Roman" w:hAnsi="Times New Roman"/>
        </w:rPr>
        <w:footnoteReference w:id="102"/>
      </w:r>
      <w:r>
        <w:rPr>
          <w:rFonts w:ascii="Times New Roman" w:hAnsi="Times New Roman" w:cs="Times New Roman"/>
        </w:rPr>
        <w:t xml:space="preserve"> на икономиката намалява</w:t>
      </w:r>
      <w:r w:rsidRPr="00D00731">
        <w:rPr>
          <w:rFonts w:ascii="Times New Roman" w:hAnsi="Times New Roman" w:cs="Times New Roman"/>
        </w:rPr>
        <w:t xml:space="preserve"> </w:t>
      </w:r>
      <w:r>
        <w:rPr>
          <w:rFonts w:ascii="Times New Roman" w:hAnsi="Times New Roman" w:cs="Times New Roman"/>
        </w:rPr>
        <w:t>с 15.4% до 3.3 кг/евро през 2017 г., но темповете на намаление изостават спрямо наблюдаваните средно за ЕС (22.1%), в резултат на което нараства допълнително разликата между страната и общността. През 2017 г. България се характеризира с най-</w:t>
      </w:r>
      <w:proofErr w:type="spellStart"/>
      <w:r>
        <w:rPr>
          <w:rFonts w:ascii="Times New Roman" w:hAnsi="Times New Roman" w:cs="Times New Roman"/>
        </w:rPr>
        <w:t>ресурсоемката</w:t>
      </w:r>
      <w:proofErr w:type="spellEnd"/>
      <w:r>
        <w:rPr>
          <w:rFonts w:ascii="Times New Roman" w:hAnsi="Times New Roman" w:cs="Times New Roman"/>
        </w:rPr>
        <w:t xml:space="preserve"> икономика в ЕС, изразходвайки 6.8 пъти повече суровини за производство на единица БВП от средния суровинен разход в ЕС и губейки една позиция в класацията на държавите членки за последните десет години (като е изпреварена от Румъния), поради относително по-бавните темпове на внедряване на по-ефективни технологии в производствения процес в страната. Високата ресурсна неефективност е едно от най-значимите препятствия пред конкурентоспособността на икономиката, като същевременно възпрепятства и устойчивото развитие. Въпреки предприетите мерки за подкрепа на технологичното обновление на икономиката, финансирани и по оперативните програми, наблюдаваният напредък е крайно недостатъчен, което поставя въпроса за адекватност на обхвата на изпълняваните интервенции и/или тяхната ефективност.</w:t>
      </w:r>
    </w:p>
    <w:p w:rsidR="00AE0F90" w:rsidRPr="00866B32"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В частност, по отношение на </w:t>
      </w:r>
      <w:r w:rsidRPr="00866B32">
        <w:rPr>
          <w:rFonts w:ascii="Times New Roman" w:eastAsia="Calibri" w:hAnsi="Times New Roman" w:cs="Times New Roman"/>
          <w:b/>
          <w:color w:val="365F91"/>
          <w:lang w:eastAsia="en-US"/>
        </w:rPr>
        <w:t>енергийната интензивност</w:t>
      </w:r>
      <w:r>
        <w:rPr>
          <w:rStyle w:val="FootnoteReference"/>
          <w:rFonts w:ascii="Times New Roman" w:hAnsi="Times New Roman"/>
        </w:rPr>
        <w:footnoteReference w:id="103"/>
      </w:r>
      <w:r>
        <w:rPr>
          <w:rFonts w:ascii="Times New Roman" w:hAnsi="Times New Roman" w:cs="Times New Roman"/>
        </w:rPr>
        <w:t xml:space="preserve"> на икономиката, през последните десет години страната успява до постигне 22.1% намаление, което е деветият най-висок резултат в рамките на ЕС и изпреварва средното подобрение в ЕС (14.5%). Въпреки това България остава с най-енергоемката икономика в ЕС,</w:t>
      </w:r>
      <w:r w:rsidRPr="00866B32">
        <w:t xml:space="preserve"> </w:t>
      </w:r>
      <w:r w:rsidRPr="00866B32">
        <w:rPr>
          <w:rFonts w:ascii="Times New Roman" w:hAnsi="Times New Roman" w:cs="Times New Roman"/>
        </w:rPr>
        <w:t xml:space="preserve">изразходвайки </w:t>
      </w:r>
      <w:r>
        <w:rPr>
          <w:rFonts w:ascii="Times New Roman" w:hAnsi="Times New Roman" w:cs="Times New Roman"/>
        </w:rPr>
        <w:t>през 2016 г. 3.6</w:t>
      </w:r>
      <w:r w:rsidRPr="00866B32">
        <w:rPr>
          <w:rFonts w:ascii="Times New Roman" w:hAnsi="Times New Roman" w:cs="Times New Roman"/>
        </w:rPr>
        <w:t xml:space="preserve"> пъти повече </w:t>
      </w:r>
      <w:r>
        <w:rPr>
          <w:rFonts w:ascii="Times New Roman" w:hAnsi="Times New Roman" w:cs="Times New Roman"/>
        </w:rPr>
        <w:t>енергийни ресурси</w:t>
      </w:r>
      <w:r w:rsidRPr="00866B32">
        <w:rPr>
          <w:rFonts w:ascii="Times New Roman" w:hAnsi="Times New Roman" w:cs="Times New Roman"/>
        </w:rPr>
        <w:t xml:space="preserve"> за производство на единица БВП от средния </w:t>
      </w:r>
      <w:r>
        <w:rPr>
          <w:rFonts w:ascii="Times New Roman" w:hAnsi="Times New Roman" w:cs="Times New Roman"/>
        </w:rPr>
        <w:t>енергиен</w:t>
      </w:r>
      <w:r w:rsidRPr="00866B32">
        <w:rPr>
          <w:rFonts w:ascii="Times New Roman" w:hAnsi="Times New Roman" w:cs="Times New Roman"/>
        </w:rPr>
        <w:t xml:space="preserve"> разход в ЕС</w:t>
      </w:r>
      <w:r>
        <w:rPr>
          <w:rFonts w:ascii="Times New Roman" w:hAnsi="Times New Roman" w:cs="Times New Roman"/>
        </w:rPr>
        <w:t xml:space="preserve">, скъсявайки изоставането си със скромните 9%. Налице е необходимост от интензифициране на усилията в посока повишаване на енергийната ефективност, с оглед подобряване на конкурентоспособността на икономиката. Предприетите действия в тази насока ще способстват и изпълнението на </w:t>
      </w:r>
      <w:r w:rsidRPr="00882641">
        <w:rPr>
          <w:rFonts w:ascii="Times New Roman" w:hAnsi="Times New Roman" w:cs="Times New Roman"/>
        </w:rPr>
        <w:t xml:space="preserve">изисквания за спестяване, произтичащи от член 7 </w:t>
      </w:r>
      <w:r>
        <w:rPr>
          <w:rFonts w:ascii="Times New Roman" w:hAnsi="Times New Roman" w:cs="Times New Roman"/>
        </w:rPr>
        <w:t>на</w:t>
      </w:r>
      <w:r w:rsidRPr="00882641">
        <w:rPr>
          <w:rFonts w:ascii="Times New Roman" w:hAnsi="Times New Roman" w:cs="Times New Roman"/>
        </w:rPr>
        <w:t xml:space="preserve"> Директивата за енергийна ефективност</w:t>
      </w:r>
      <w:r>
        <w:rPr>
          <w:rStyle w:val="FootnoteReference"/>
          <w:rFonts w:ascii="Times New Roman" w:hAnsi="Times New Roman"/>
        </w:rPr>
        <w:footnoteReference w:id="104"/>
      </w:r>
      <w:r>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Според ЕК</w:t>
      </w:r>
      <w:r w:rsidRPr="00992A4A">
        <w:rPr>
          <w:rStyle w:val="FootnoteReference"/>
          <w:rFonts w:ascii="Times New Roman" w:hAnsi="Times New Roman"/>
        </w:rPr>
        <w:footnoteReference w:id="105"/>
      </w:r>
      <w:r w:rsidRPr="00992A4A">
        <w:rPr>
          <w:rFonts w:ascii="Times New Roman" w:hAnsi="Times New Roman" w:cs="Times New Roman"/>
        </w:rPr>
        <w:t>,</w:t>
      </w:r>
      <w:r>
        <w:rPr>
          <w:rFonts w:ascii="Times New Roman" w:hAnsi="Times New Roman" w:cs="Times New Roman"/>
        </w:rPr>
        <w:t xml:space="preserve"> след значителното (почти двойно) намаление на енергийната интензивност в сектора на промишлеността в страната </w:t>
      </w:r>
      <w:r w:rsidRPr="00BE5B04">
        <w:rPr>
          <w:rFonts w:ascii="Times New Roman" w:hAnsi="Times New Roman" w:cs="Times New Roman"/>
        </w:rPr>
        <w:t xml:space="preserve">през първите десет години на </w:t>
      </w:r>
      <w:r>
        <w:rPr>
          <w:rFonts w:ascii="Times New Roman" w:hAnsi="Times New Roman" w:cs="Times New Roman"/>
        </w:rPr>
        <w:t>ХХ</w:t>
      </w:r>
      <w:r>
        <w:rPr>
          <w:rFonts w:ascii="Times New Roman" w:hAnsi="Times New Roman" w:cs="Times New Roman"/>
          <w:lang w:val="en-US"/>
        </w:rPr>
        <w:t>I</w:t>
      </w:r>
      <w:r w:rsidRPr="00BE5B04">
        <w:rPr>
          <w:rFonts w:ascii="Times New Roman" w:hAnsi="Times New Roman" w:cs="Times New Roman"/>
        </w:rPr>
        <w:t xml:space="preserve"> век</w:t>
      </w:r>
      <w:r>
        <w:rPr>
          <w:rStyle w:val="FootnoteReference"/>
          <w:rFonts w:ascii="Times New Roman" w:hAnsi="Times New Roman"/>
        </w:rPr>
        <w:footnoteReference w:id="106"/>
      </w:r>
      <w:r w:rsidRPr="00BE5B04">
        <w:rPr>
          <w:rFonts w:ascii="Times New Roman" w:hAnsi="Times New Roman" w:cs="Times New Roman"/>
        </w:rPr>
        <w:t xml:space="preserve"> </w:t>
      </w:r>
      <w:r>
        <w:rPr>
          <w:rFonts w:ascii="Times New Roman" w:hAnsi="Times New Roman" w:cs="Times New Roman"/>
        </w:rPr>
        <w:t>следва застой, като енергийната ефективност на сектора остава в рамките на един сравнително тесен диапазон. Безспорно, съществена роля в това отношение изиграва глобалната икономическа криза и нейните последствия върху инвестиционната активност в страната. Липсата на значими промени в индустриалната структура, както и на съществено подобрение по отношение на използваните технологии и производствени процеси, не позволяват на сектора на индустрията да подобри енергийната си ефективност, в резултат на което енергийната интензивност на българската промишленост остава най-висока в ЕС, при почти тройно</w:t>
      </w:r>
      <w:r>
        <w:rPr>
          <w:rStyle w:val="FootnoteReference"/>
          <w:rFonts w:ascii="Times New Roman" w:hAnsi="Times New Roman"/>
        </w:rPr>
        <w:footnoteReference w:id="107"/>
      </w:r>
      <w:r>
        <w:rPr>
          <w:rFonts w:ascii="Times New Roman" w:hAnsi="Times New Roman" w:cs="Times New Roman"/>
        </w:rPr>
        <w:t xml:space="preserve"> по-високо ниво спрямо средното за ЕС. </w:t>
      </w:r>
      <w:r w:rsidRPr="00443150">
        <w:rPr>
          <w:rFonts w:ascii="Times New Roman" w:hAnsi="Times New Roman" w:cs="Times New Roman"/>
        </w:rPr>
        <w:t xml:space="preserve">Висок потенциал за енергоспестяване има в енергийния отрасъл – по цялата верига на производство, преобразуване и пренос на енергия. В това отношение приоритетна задача е да </w:t>
      </w:r>
      <w:r>
        <w:rPr>
          <w:rFonts w:ascii="Times New Roman" w:hAnsi="Times New Roman" w:cs="Times New Roman"/>
        </w:rPr>
        <w:t xml:space="preserve">се </w:t>
      </w:r>
      <w:r w:rsidRPr="00443150">
        <w:rPr>
          <w:rFonts w:ascii="Times New Roman" w:hAnsi="Times New Roman" w:cs="Times New Roman"/>
        </w:rPr>
        <w:t xml:space="preserve">въведат пазарни икономически стимули за реализиране на мерки за </w:t>
      </w:r>
      <w:r>
        <w:rPr>
          <w:rFonts w:ascii="Times New Roman" w:hAnsi="Times New Roman" w:cs="Times New Roman"/>
        </w:rPr>
        <w:t>енергийна ефективност</w:t>
      </w:r>
      <w:r w:rsidRPr="00443150">
        <w:rPr>
          <w:rFonts w:ascii="Times New Roman" w:hAnsi="Times New Roman" w:cs="Times New Roman"/>
        </w:rPr>
        <w:t xml:space="preserve">, както за енергийните компании, така и за крайните потребители. </w:t>
      </w:r>
      <w:r>
        <w:rPr>
          <w:rFonts w:ascii="Times New Roman" w:hAnsi="Times New Roman" w:cs="Times New Roman"/>
        </w:rPr>
        <w:t>До голяма степен същото се отнася и за сектора на услугите, където обаче изоставането спрямо ЕС е малко по-малко (2.5</w:t>
      </w:r>
      <w:r>
        <w:rPr>
          <w:rStyle w:val="FootnoteReference"/>
          <w:rFonts w:ascii="Times New Roman" w:hAnsi="Times New Roman"/>
        </w:rPr>
        <w:footnoteReference w:id="108"/>
      </w:r>
      <w:r>
        <w:rPr>
          <w:rFonts w:ascii="Times New Roman" w:hAnsi="Times New Roman" w:cs="Times New Roman"/>
        </w:rPr>
        <w:t xml:space="preserve"> пъти). </w:t>
      </w:r>
      <w:r w:rsidRPr="00225E47">
        <w:rPr>
          <w:rFonts w:ascii="Times New Roman" w:hAnsi="Times New Roman" w:cs="Times New Roman"/>
        </w:rPr>
        <w:t>От друга страна, енергийната интензивност</w:t>
      </w:r>
      <w:r>
        <w:rPr>
          <w:rStyle w:val="FootnoteReference"/>
          <w:rFonts w:ascii="Times New Roman" w:hAnsi="Times New Roman"/>
        </w:rPr>
        <w:footnoteReference w:id="109"/>
      </w:r>
      <w:r w:rsidRPr="00225E47">
        <w:rPr>
          <w:rFonts w:ascii="Times New Roman" w:hAnsi="Times New Roman" w:cs="Times New Roman"/>
        </w:rPr>
        <w:t xml:space="preserve"> на българските домакинства </w:t>
      </w:r>
      <w:r>
        <w:rPr>
          <w:rFonts w:ascii="Times New Roman" w:hAnsi="Times New Roman" w:cs="Times New Roman"/>
        </w:rPr>
        <w:t xml:space="preserve">остава </w:t>
      </w:r>
      <w:r w:rsidRPr="00225E47">
        <w:rPr>
          <w:rFonts w:ascii="Times New Roman" w:hAnsi="Times New Roman" w:cs="Times New Roman"/>
        </w:rPr>
        <w:lastRenderedPageBreak/>
        <w:t xml:space="preserve">доста под средното </w:t>
      </w:r>
      <w:r>
        <w:rPr>
          <w:rFonts w:ascii="Times New Roman" w:hAnsi="Times New Roman" w:cs="Times New Roman"/>
        </w:rPr>
        <w:t>в ЕС</w:t>
      </w:r>
      <w:r>
        <w:rPr>
          <w:rStyle w:val="FootnoteReference"/>
          <w:rFonts w:ascii="Times New Roman" w:hAnsi="Times New Roman"/>
        </w:rPr>
        <w:footnoteReference w:id="110"/>
      </w:r>
      <w:r>
        <w:rPr>
          <w:rFonts w:ascii="Times New Roman" w:hAnsi="Times New Roman" w:cs="Times New Roman"/>
        </w:rPr>
        <w:t>, въпреки че намалява по-бавно от темповете на подобрение средно за общността</w:t>
      </w:r>
      <w:r w:rsidRPr="00225E47">
        <w:rPr>
          <w:rFonts w:ascii="Times New Roman" w:hAnsi="Times New Roman" w:cs="Times New Roman"/>
        </w:rPr>
        <w:t>.</w:t>
      </w:r>
      <w:r>
        <w:rPr>
          <w:rFonts w:ascii="Times New Roman" w:hAnsi="Times New Roman" w:cs="Times New Roman"/>
        </w:rPr>
        <w:t xml:space="preserve"> Изпълнението на националната програмата за енергий</w:t>
      </w:r>
      <w:r w:rsidRPr="00C56D02">
        <w:rPr>
          <w:rFonts w:ascii="Times New Roman" w:hAnsi="Times New Roman" w:cs="Times New Roman"/>
        </w:rPr>
        <w:t xml:space="preserve">на </w:t>
      </w:r>
      <w:r>
        <w:rPr>
          <w:rFonts w:ascii="Times New Roman" w:hAnsi="Times New Roman" w:cs="Times New Roman"/>
        </w:rPr>
        <w:t>е</w:t>
      </w:r>
      <w:r w:rsidRPr="00C56D02">
        <w:rPr>
          <w:rFonts w:ascii="Times New Roman" w:hAnsi="Times New Roman" w:cs="Times New Roman"/>
        </w:rPr>
        <w:t xml:space="preserve">фективност на </w:t>
      </w:r>
      <w:proofErr w:type="spellStart"/>
      <w:r w:rsidRPr="00C56D02">
        <w:rPr>
          <w:rFonts w:ascii="Times New Roman" w:hAnsi="Times New Roman" w:cs="Times New Roman"/>
        </w:rPr>
        <w:t>многофамилни</w:t>
      </w:r>
      <w:proofErr w:type="spellEnd"/>
      <w:r w:rsidRPr="00C56D02">
        <w:rPr>
          <w:rFonts w:ascii="Times New Roman" w:hAnsi="Times New Roman" w:cs="Times New Roman"/>
        </w:rPr>
        <w:t xml:space="preserve"> жилищни сгради</w:t>
      </w:r>
      <w:r>
        <w:rPr>
          <w:rFonts w:ascii="Times New Roman" w:hAnsi="Times New Roman" w:cs="Times New Roman"/>
        </w:rPr>
        <w:t xml:space="preserve"> допринася за подобряването на показателя след 2015 г.</w:t>
      </w:r>
    </w:p>
    <w:p w:rsidR="00AE0F90" w:rsidRPr="00DC4A4B"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t xml:space="preserve">Графика </w:t>
      </w:r>
      <w:r w:rsidR="00227FC6">
        <w:rPr>
          <w:rFonts w:ascii="Times New Roman" w:hAnsi="Times New Roman" w:cs="Times New Roman"/>
          <w:b/>
          <w:sz w:val="18"/>
          <w:szCs w:val="18"/>
        </w:rPr>
        <w:t xml:space="preserve">14. </w:t>
      </w:r>
      <w:proofErr w:type="spellStart"/>
      <w:r>
        <w:rPr>
          <w:rFonts w:ascii="Times New Roman" w:hAnsi="Times New Roman" w:cs="Times New Roman"/>
          <w:b/>
          <w:sz w:val="18"/>
          <w:szCs w:val="18"/>
        </w:rPr>
        <w:t>Въглеродоинтензивност</w:t>
      </w:r>
      <w:proofErr w:type="spellEnd"/>
      <w:r>
        <w:rPr>
          <w:rFonts w:ascii="Times New Roman" w:hAnsi="Times New Roman" w:cs="Times New Roman"/>
          <w:b/>
          <w:sz w:val="18"/>
          <w:szCs w:val="18"/>
        </w:rPr>
        <w:t xml:space="preserve"> и емисии на парникови газове на глава от населението: България и ЕС</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w:drawing>
          <wp:anchor distT="0" distB="0" distL="114300" distR="114300" simplePos="0" relativeHeight="251664896" behindDoc="0" locked="0" layoutInCell="1" allowOverlap="1" wp14:anchorId="1EE4C840" wp14:editId="49E2F220">
            <wp:simplePos x="0" y="0"/>
            <wp:positionH relativeFrom="column">
              <wp:posOffset>2974975</wp:posOffset>
            </wp:positionH>
            <wp:positionV relativeFrom="paragraph">
              <wp:posOffset>44450</wp:posOffset>
            </wp:positionV>
            <wp:extent cx="3143885" cy="188976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43885" cy="1889760"/>
                    </a:xfrm>
                    <a:prstGeom prst="rect">
                      <a:avLst/>
                    </a:prstGeom>
                    <a:noFill/>
                  </pic:spPr>
                </pic:pic>
              </a:graphicData>
            </a:graphic>
            <wp14:sizeRelH relativeFrom="page">
              <wp14:pctWidth>0</wp14:pctWidth>
            </wp14:sizeRelH>
            <wp14:sizeRelV relativeFrom="page">
              <wp14:pctHeight>0</wp14:pctHeight>
            </wp14:sizeRelV>
          </wp:anchor>
        </w:drawing>
      </w:r>
      <w:r w:rsidRPr="0003427F">
        <w:rPr>
          <w:rFonts w:ascii="Times New Roman" w:hAnsi="Times New Roman" w:cs="Times New Roman"/>
        </w:rPr>
        <w:t xml:space="preserve">България остава най-въглеродно интензивната държава – членка на ЕС, като към 2016 г. интензитетът на </w:t>
      </w:r>
      <w:r w:rsidRPr="0003427F">
        <w:rPr>
          <w:rFonts w:ascii="Times New Roman" w:eastAsia="Calibri" w:hAnsi="Times New Roman" w:cs="Times New Roman"/>
          <w:b/>
          <w:color w:val="365F91"/>
          <w:lang w:eastAsia="en-US"/>
        </w:rPr>
        <w:t>емисиите на парникови газове</w:t>
      </w:r>
      <w:r w:rsidRPr="0003427F">
        <w:rPr>
          <w:rFonts w:ascii="Times New Roman" w:hAnsi="Times New Roman" w:cs="Times New Roman"/>
        </w:rPr>
        <w:t xml:space="preserve"> в българската икономика</w:t>
      </w:r>
      <w:r>
        <w:rPr>
          <w:rStyle w:val="FootnoteReference"/>
          <w:rFonts w:ascii="Times New Roman" w:hAnsi="Times New Roman"/>
        </w:rPr>
        <w:footnoteReference w:id="111"/>
      </w:r>
      <w:r>
        <w:rPr>
          <w:rFonts w:ascii="Times New Roman" w:hAnsi="Times New Roman" w:cs="Times New Roman"/>
        </w:rPr>
        <w:t xml:space="preserve"> е 4.3 пъти по-висок от средното за ЕС ниво, при минимално скъсяване на изоставането в това отношение с едва 5.7% за последните десет години. </w:t>
      </w:r>
      <w:r w:rsidRPr="00250975">
        <w:rPr>
          <w:rFonts w:ascii="Times New Roman" w:hAnsi="Times New Roman" w:cs="Times New Roman"/>
        </w:rPr>
        <w:t>През 2016 г. емисиите на парникови газове в България се оценяват на 59.7</w:t>
      </w:r>
      <w:r w:rsidRPr="00250975">
        <w:rPr>
          <w:rStyle w:val="FootnoteReference"/>
          <w:rFonts w:ascii="Times New Roman" w:hAnsi="Times New Roman"/>
        </w:rPr>
        <w:footnoteReference w:id="112"/>
      </w:r>
      <w:r w:rsidRPr="00250975">
        <w:rPr>
          <w:rFonts w:ascii="Times New Roman" w:hAnsi="Times New Roman" w:cs="Times New Roman"/>
        </w:rPr>
        <w:t xml:space="preserve"> млн. т. СО</w:t>
      </w:r>
      <w:r w:rsidRPr="00250975">
        <w:rPr>
          <w:rFonts w:ascii="Times New Roman" w:hAnsi="Times New Roman" w:cs="Times New Roman"/>
          <w:vertAlign w:val="subscript"/>
        </w:rPr>
        <w:t>2</w:t>
      </w:r>
      <w:r w:rsidRPr="00250975">
        <w:rPr>
          <w:rFonts w:ascii="Times New Roman" w:hAnsi="Times New Roman" w:cs="Times New Roman"/>
        </w:rPr>
        <w:t xml:space="preserve"> еквивалент, което е 43% под нивото им от базисната 1990 г. Относителното намаление спрямо базисната година е почти двойно по-голямо от средното за ЕС</w:t>
      </w:r>
      <w:r>
        <w:rPr>
          <w:rFonts w:ascii="Times New Roman" w:hAnsi="Times New Roman" w:cs="Times New Roman"/>
        </w:rPr>
        <w:t>, но по-високите резултати спрямо наблюдаваните в ЕС се дължат изцяло на подобрението, отбелязано през последното десетилетие на миналия век</w:t>
      </w:r>
      <w:r w:rsidRPr="00250975">
        <w:rPr>
          <w:rFonts w:ascii="Times New Roman" w:hAnsi="Times New Roman" w:cs="Times New Roman"/>
        </w:rPr>
        <w:t>. Въз основа на национални прогнози България ще постигне целта си за 2020 г. за емисиите с марж от 21.7 процентни пункта. През 2016 г. емисиите в секторите извън СТЕ (попадащи в обхвата на Решението за споделяне на усилията) са с 12.6 процентни пункта под междинната цел за 2016 г.</w:t>
      </w:r>
      <w:r>
        <w:rPr>
          <w:rFonts w:ascii="Times New Roman" w:hAnsi="Times New Roman" w:cs="Times New Roman"/>
        </w:rPr>
        <w:t xml:space="preserve"> Е</w:t>
      </w:r>
      <w:r w:rsidRPr="00250975">
        <w:rPr>
          <w:rFonts w:ascii="Times New Roman" w:hAnsi="Times New Roman" w:cs="Times New Roman"/>
        </w:rPr>
        <w:t xml:space="preserve">мисиите на </w:t>
      </w:r>
      <w:r>
        <w:rPr>
          <w:rFonts w:ascii="Times New Roman" w:hAnsi="Times New Roman" w:cs="Times New Roman"/>
        </w:rPr>
        <w:t>парникови газове</w:t>
      </w:r>
      <w:r w:rsidRPr="00250975">
        <w:rPr>
          <w:rFonts w:ascii="Times New Roman" w:hAnsi="Times New Roman" w:cs="Times New Roman"/>
        </w:rPr>
        <w:t xml:space="preserve"> на глава от населението в България остават под средното за ЕС (8.3 кг CO</w:t>
      </w:r>
      <w:r w:rsidRPr="00250975">
        <w:rPr>
          <w:rFonts w:ascii="Times New Roman" w:hAnsi="Times New Roman" w:cs="Times New Roman"/>
          <w:vertAlign w:val="subscript"/>
        </w:rPr>
        <w:t xml:space="preserve">2 </w:t>
      </w:r>
      <w:r w:rsidRPr="00250975">
        <w:rPr>
          <w:rFonts w:ascii="Times New Roman" w:hAnsi="Times New Roman" w:cs="Times New Roman"/>
        </w:rPr>
        <w:t>еквивалент спрямо 8.7 кг CO</w:t>
      </w:r>
      <w:r w:rsidRPr="00250975">
        <w:rPr>
          <w:rFonts w:ascii="Times New Roman" w:hAnsi="Times New Roman" w:cs="Times New Roman"/>
          <w:vertAlign w:val="subscript"/>
        </w:rPr>
        <w:t>2</w:t>
      </w:r>
      <w:r w:rsidRPr="00250975">
        <w:rPr>
          <w:rFonts w:ascii="Times New Roman" w:hAnsi="Times New Roman" w:cs="Times New Roman"/>
        </w:rPr>
        <w:t xml:space="preserve"> еквивалент), в съответствие с тенденцията от 1990 г. насам. </w:t>
      </w:r>
      <w:r w:rsidRPr="00B916DE">
        <w:rPr>
          <w:rFonts w:ascii="Times New Roman" w:hAnsi="Times New Roman" w:cs="Times New Roman"/>
        </w:rPr>
        <w:t>Най-големите отрасли по отношение на емисиите на парникови газове остават енергийният сектор (представляващ повече от половината от общите емисии), следван от транспорта (15.2%), промишлеността (13.9%) и селското стопанство (10.5%).</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През последните десет години се регистрира удвояване на дела на </w:t>
      </w:r>
      <w:r w:rsidRPr="00985346">
        <w:rPr>
          <w:rFonts w:ascii="Times New Roman" w:eastAsia="Calibri" w:hAnsi="Times New Roman" w:cs="Times New Roman"/>
          <w:b/>
          <w:color w:val="365F91"/>
          <w:lang w:eastAsia="en-US"/>
        </w:rPr>
        <w:t>енергията от възобновяеми източници</w:t>
      </w:r>
      <w:r w:rsidRPr="00985346">
        <w:rPr>
          <w:rFonts w:ascii="Times New Roman" w:hAnsi="Times New Roman" w:cs="Times New Roman"/>
        </w:rPr>
        <w:t xml:space="preserve"> в брутното крайно потребление на енергия</w:t>
      </w:r>
      <w:r>
        <w:rPr>
          <w:rFonts w:ascii="Times New Roman" w:hAnsi="Times New Roman" w:cs="Times New Roman"/>
        </w:rPr>
        <w:t>, достигащ 18.8% през 2016 г., спрямо 9.2% през 2007 г. По този показател страната продължава да се представя по-добре от ЕС (средно за ЕС постигната стойност през 2016 г. възлиза на 17%), като нивото на показателя остава значително над</w:t>
      </w:r>
      <w:r w:rsidRPr="00DB6A30">
        <w:t xml:space="preserve"> </w:t>
      </w:r>
      <w:r w:rsidRPr="00DB6A30">
        <w:rPr>
          <w:rFonts w:ascii="Times New Roman" w:hAnsi="Times New Roman" w:cs="Times New Roman"/>
        </w:rPr>
        <w:t>националната цел по стратегия „</w:t>
      </w:r>
      <w:r w:rsidRPr="0048415A">
        <w:rPr>
          <w:rFonts w:ascii="Times New Roman" w:hAnsi="Times New Roman" w:cs="Times New Roman"/>
          <w:i/>
        </w:rPr>
        <w:t>Европа 2020</w:t>
      </w:r>
      <w:r w:rsidRPr="00DB6A30">
        <w:rPr>
          <w:rFonts w:ascii="Times New Roman" w:hAnsi="Times New Roman" w:cs="Times New Roman"/>
        </w:rPr>
        <w:t>“ (16%</w:t>
      </w:r>
      <w:r>
        <w:rPr>
          <w:rFonts w:ascii="Times New Roman" w:hAnsi="Times New Roman" w:cs="Times New Roman"/>
        </w:rPr>
        <w:t xml:space="preserve"> през 2020 г.</w:t>
      </w:r>
      <w:r w:rsidRPr="00DB6A30">
        <w:rPr>
          <w:rFonts w:ascii="Times New Roman" w:hAnsi="Times New Roman" w:cs="Times New Roman"/>
        </w:rPr>
        <w:t>)</w:t>
      </w:r>
      <w:r>
        <w:rPr>
          <w:rFonts w:ascii="Times New Roman" w:hAnsi="Times New Roman" w:cs="Times New Roman"/>
        </w:rPr>
        <w:t xml:space="preserve">. Значителното подобрение обаче е постигнато в резултат на усилията през първата половина на разглеждания период (до 2013 г., когато е постигната стойност от 19%), докато през последните години липсва напредък, което компрометира възможностите на икономиката както да адресира предизвикателствата, произтичащи от измененията на климата, така и да намали зависимостта си от </w:t>
      </w:r>
      <w:r w:rsidRPr="002F38E5">
        <w:rPr>
          <w:rFonts w:ascii="Times New Roman" w:eastAsia="Calibri" w:hAnsi="Times New Roman" w:cs="Times New Roman"/>
          <w:b/>
          <w:color w:val="365F91"/>
          <w:lang w:eastAsia="en-US"/>
        </w:rPr>
        <w:t>внос на енергийни източници</w:t>
      </w:r>
      <w:r>
        <w:rPr>
          <w:rFonts w:ascii="Times New Roman" w:hAnsi="Times New Roman" w:cs="Times New Roman"/>
        </w:rPr>
        <w:t>. През 2016 г. страната задоволява малко над 1/3 от потребността си от енергийни ресурси за сметка на внос (сравнено с над ½ средно за ЕС), при подобрение от повече от 10</w:t>
      </w:r>
      <w:r>
        <w:rPr>
          <w:rStyle w:val="FootnoteReference"/>
          <w:rFonts w:ascii="Times New Roman" w:hAnsi="Times New Roman" w:cs="Times New Roman"/>
        </w:rPr>
        <w:footnoteReference w:id="113"/>
      </w:r>
      <w:r>
        <w:rPr>
          <w:rFonts w:ascii="Times New Roman" w:hAnsi="Times New Roman" w:cs="Times New Roman"/>
        </w:rPr>
        <w:t xml:space="preserve"> процентни пункта за последните десет години.</w:t>
      </w:r>
      <w:r>
        <w:rPr>
          <w:rFonts w:ascii="Times New Roman" w:hAnsi="Times New Roman" w:cs="Times New Roman"/>
          <w:lang w:val="en-US"/>
        </w:rPr>
        <w:t xml:space="preserve"> </w:t>
      </w:r>
      <w:r>
        <w:rPr>
          <w:rFonts w:ascii="Times New Roman" w:hAnsi="Times New Roman" w:cs="Times New Roman"/>
        </w:rPr>
        <w:t xml:space="preserve">Въпреки това </w:t>
      </w:r>
      <w:r w:rsidRPr="00D17682">
        <w:rPr>
          <w:rFonts w:ascii="Times New Roman" w:hAnsi="Times New Roman" w:cs="Times New Roman"/>
        </w:rPr>
        <w:t xml:space="preserve">обаче България </w:t>
      </w:r>
      <w:r>
        <w:rPr>
          <w:rFonts w:ascii="Times New Roman" w:hAnsi="Times New Roman" w:cs="Times New Roman"/>
        </w:rPr>
        <w:t xml:space="preserve">продължава да </w:t>
      </w:r>
      <w:r w:rsidRPr="00D17682">
        <w:rPr>
          <w:rFonts w:ascii="Times New Roman" w:hAnsi="Times New Roman" w:cs="Times New Roman"/>
        </w:rPr>
        <w:t>внася почти всички петролни продукти</w:t>
      </w:r>
      <w:r>
        <w:rPr>
          <w:rFonts w:ascii="Times New Roman" w:hAnsi="Times New Roman" w:cs="Times New Roman"/>
        </w:rPr>
        <w:t>, ядрено гориво</w:t>
      </w:r>
      <w:r w:rsidRPr="00D17682">
        <w:rPr>
          <w:rFonts w:ascii="Times New Roman" w:hAnsi="Times New Roman" w:cs="Times New Roman"/>
        </w:rPr>
        <w:t xml:space="preserve"> и природен газ, необходими за </w:t>
      </w:r>
      <w:r>
        <w:rPr>
          <w:rFonts w:ascii="Times New Roman" w:hAnsi="Times New Roman" w:cs="Times New Roman"/>
        </w:rPr>
        <w:t xml:space="preserve">вътрешно </w:t>
      </w:r>
      <w:r w:rsidRPr="00D17682">
        <w:rPr>
          <w:rFonts w:ascii="Times New Roman" w:hAnsi="Times New Roman" w:cs="Times New Roman"/>
        </w:rPr>
        <w:t xml:space="preserve">потребление. През 2015 г. нетната вносна зависимост </w:t>
      </w:r>
      <w:r>
        <w:rPr>
          <w:rFonts w:ascii="Times New Roman" w:hAnsi="Times New Roman" w:cs="Times New Roman"/>
        </w:rPr>
        <w:t>по отношение на</w:t>
      </w:r>
      <w:r w:rsidRPr="00D17682">
        <w:rPr>
          <w:rFonts w:ascii="Times New Roman" w:hAnsi="Times New Roman" w:cs="Times New Roman"/>
        </w:rPr>
        <w:t xml:space="preserve"> пет</w:t>
      </w:r>
      <w:r>
        <w:rPr>
          <w:rFonts w:ascii="Times New Roman" w:hAnsi="Times New Roman" w:cs="Times New Roman"/>
        </w:rPr>
        <w:t xml:space="preserve">ролните продукти, ядреното гориво и природния газ </w:t>
      </w:r>
      <w:r w:rsidRPr="00D17682">
        <w:rPr>
          <w:rFonts w:ascii="Times New Roman" w:hAnsi="Times New Roman" w:cs="Times New Roman"/>
        </w:rPr>
        <w:t xml:space="preserve">са съответно 100%, </w:t>
      </w:r>
      <w:r>
        <w:rPr>
          <w:rFonts w:ascii="Times New Roman" w:hAnsi="Times New Roman" w:cs="Times New Roman"/>
        </w:rPr>
        <w:t xml:space="preserve">100% и </w:t>
      </w:r>
      <w:r w:rsidRPr="00D17682">
        <w:rPr>
          <w:rFonts w:ascii="Times New Roman" w:hAnsi="Times New Roman" w:cs="Times New Roman"/>
        </w:rPr>
        <w:t>97%</w:t>
      </w:r>
      <w:r>
        <w:rPr>
          <w:rStyle w:val="FootnoteReference"/>
          <w:rFonts w:ascii="Times New Roman" w:hAnsi="Times New Roman" w:cs="Times New Roman"/>
        </w:rPr>
        <w:footnoteReference w:id="114"/>
      </w:r>
      <w:r>
        <w:rPr>
          <w:rFonts w:ascii="Times New Roman" w:hAnsi="Times New Roman" w:cs="Times New Roman"/>
        </w:rPr>
        <w:t xml:space="preserve">, при много висока стойност на индекса на концентрация на доставчика, </w:t>
      </w:r>
      <w:proofErr w:type="spellStart"/>
      <w:r>
        <w:rPr>
          <w:rFonts w:ascii="Times New Roman" w:hAnsi="Times New Roman" w:cs="Times New Roman"/>
        </w:rPr>
        <w:t>т.к</w:t>
      </w:r>
      <w:proofErr w:type="spellEnd"/>
      <w:r>
        <w:rPr>
          <w:rFonts w:ascii="Times New Roman" w:hAnsi="Times New Roman" w:cs="Times New Roman"/>
        </w:rPr>
        <w:t>.</w:t>
      </w:r>
      <w:r w:rsidRPr="00D17682">
        <w:rPr>
          <w:rFonts w:ascii="Times New Roman" w:hAnsi="Times New Roman" w:cs="Times New Roman"/>
        </w:rPr>
        <w:t xml:space="preserve"> България</w:t>
      </w:r>
      <w:r>
        <w:rPr>
          <w:rFonts w:ascii="Times New Roman" w:hAnsi="Times New Roman" w:cs="Times New Roman"/>
        </w:rPr>
        <w:t xml:space="preserve"> </w:t>
      </w:r>
      <w:r w:rsidRPr="00D17682">
        <w:rPr>
          <w:rFonts w:ascii="Times New Roman" w:hAnsi="Times New Roman" w:cs="Times New Roman"/>
        </w:rPr>
        <w:t xml:space="preserve">купува </w:t>
      </w:r>
      <w:r>
        <w:rPr>
          <w:rFonts w:ascii="Times New Roman" w:hAnsi="Times New Roman" w:cs="Times New Roman"/>
        </w:rPr>
        <w:t xml:space="preserve">необходимите й енергийни ресурси основно от </w:t>
      </w:r>
      <w:r w:rsidRPr="00D17682">
        <w:rPr>
          <w:rFonts w:ascii="Times New Roman" w:hAnsi="Times New Roman" w:cs="Times New Roman"/>
        </w:rPr>
        <w:t>един търговски партньор</w:t>
      </w:r>
      <w:r>
        <w:rPr>
          <w:rFonts w:ascii="Times New Roman" w:hAnsi="Times New Roman" w:cs="Times New Roman"/>
        </w:rPr>
        <w:t xml:space="preserve"> - </w:t>
      </w:r>
      <w:r w:rsidRPr="00D17682">
        <w:rPr>
          <w:rFonts w:ascii="Times New Roman" w:hAnsi="Times New Roman" w:cs="Times New Roman"/>
        </w:rPr>
        <w:t>Руска</w:t>
      </w:r>
      <w:r>
        <w:rPr>
          <w:rFonts w:ascii="Times New Roman" w:hAnsi="Times New Roman" w:cs="Times New Roman"/>
        </w:rPr>
        <w:t>та федерация.</w:t>
      </w:r>
    </w:p>
    <w:p w:rsidR="00AE0F90" w:rsidRPr="00F203B6" w:rsidRDefault="00AE0F90" w:rsidP="00AE0F90">
      <w:pPr>
        <w:pStyle w:val="Heading2"/>
        <w:numPr>
          <w:ilvl w:val="1"/>
          <w:numId w:val="16"/>
        </w:numPr>
        <w:rPr>
          <w:color w:val="1F497D"/>
        </w:rPr>
      </w:pPr>
      <w:bookmarkStart w:id="33" w:name="_Toc525196971"/>
      <w:bookmarkStart w:id="34" w:name="_Toc791819"/>
      <w:r w:rsidRPr="00F203B6">
        <w:rPr>
          <w:color w:val="1F497D"/>
        </w:rPr>
        <w:lastRenderedPageBreak/>
        <w:t>Свързаност и достъпност</w:t>
      </w:r>
      <w:bookmarkEnd w:id="33"/>
      <w:bookmarkEnd w:id="34"/>
    </w:p>
    <w:p w:rsidR="00AE0F90" w:rsidRDefault="00AE0F90" w:rsidP="00AE0F90">
      <w:pPr>
        <w:pStyle w:val="ListParagraph"/>
        <w:spacing w:line="269" w:lineRule="auto"/>
        <w:ind w:left="0" w:firstLine="0"/>
        <w:contextualSpacing w:val="0"/>
        <w:jc w:val="both"/>
        <w:rPr>
          <w:rFonts w:ascii="Times New Roman" w:hAnsi="Times New Roman" w:cs="Times New Roman"/>
          <w:i/>
        </w:rPr>
      </w:pPr>
      <w:r w:rsidRPr="000C40E8">
        <w:rPr>
          <w:rFonts w:ascii="Times New Roman" w:hAnsi="Times New Roman" w:cs="Times New Roman"/>
          <w:i/>
        </w:rPr>
        <w:t>Секторът на транспорта намалява важността си в структурата на икономиката, донякъде в резултат на глобалната икономическа криза, но остава с по-голяма значимост в страната в сравнение с ЕС по отношение на добавена стойност и формиране на заетост. Структурата на пътната мрежа остава почти непроменена, при незначително нарастване на дела на автомагистралите, което е недостатъчно за преодоляване на същественото изоставане по отношение на покритието със скоростни пътища спрямо ЕС.</w:t>
      </w:r>
      <w:r>
        <w:rPr>
          <w:rFonts w:ascii="Times New Roman" w:hAnsi="Times New Roman" w:cs="Times New Roman"/>
          <w:i/>
        </w:rPr>
        <w:t xml:space="preserve"> Степента на завършеност на отсечките от основната </w:t>
      </w:r>
      <w:r>
        <w:rPr>
          <w:rFonts w:ascii="Times New Roman" w:hAnsi="Times New Roman" w:cs="Times New Roman"/>
          <w:i/>
          <w:lang w:val="en-US"/>
        </w:rPr>
        <w:t>TEN-T</w:t>
      </w:r>
      <w:r>
        <w:rPr>
          <w:rFonts w:ascii="Times New Roman" w:hAnsi="Times New Roman" w:cs="Times New Roman"/>
          <w:i/>
        </w:rPr>
        <w:t xml:space="preserve"> мрежа остава ниска, а качеството на пътната настилка по републиканските и общински пътища – критично ниска, с негативни импликации върху </w:t>
      </w:r>
      <w:r w:rsidRPr="00A63A58">
        <w:rPr>
          <w:rFonts w:ascii="Times New Roman" w:hAnsi="Times New Roman" w:cs="Times New Roman"/>
          <w:i/>
        </w:rPr>
        <w:t>свързаността между регионите в страната и външната им достъпност</w:t>
      </w:r>
      <w:r>
        <w:rPr>
          <w:rFonts w:ascii="Times New Roman" w:hAnsi="Times New Roman" w:cs="Times New Roman"/>
          <w:i/>
        </w:rPr>
        <w:t>, както и за пътната безопасност.</w:t>
      </w:r>
      <w:r w:rsidRPr="000C40E8">
        <w:rPr>
          <w:rFonts w:ascii="Times New Roman" w:hAnsi="Times New Roman" w:cs="Times New Roman"/>
          <w:i/>
        </w:rPr>
        <w:t xml:space="preserve"> Въвеждане</w:t>
      </w:r>
      <w:r>
        <w:rPr>
          <w:rFonts w:ascii="Times New Roman" w:hAnsi="Times New Roman" w:cs="Times New Roman"/>
          <w:i/>
        </w:rPr>
        <w:t xml:space="preserve">то </w:t>
      </w:r>
      <w:r w:rsidRPr="000C40E8">
        <w:rPr>
          <w:rFonts w:ascii="Times New Roman" w:hAnsi="Times New Roman" w:cs="Times New Roman"/>
          <w:i/>
        </w:rPr>
        <w:t xml:space="preserve">на </w:t>
      </w:r>
      <w:proofErr w:type="spellStart"/>
      <w:r w:rsidRPr="000C40E8">
        <w:rPr>
          <w:rFonts w:ascii="Times New Roman" w:hAnsi="Times New Roman" w:cs="Times New Roman"/>
          <w:i/>
        </w:rPr>
        <w:t>тол</w:t>
      </w:r>
      <w:proofErr w:type="spellEnd"/>
      <w:r w:rsidRPr="000C40E8">
        <w:rPr>
          <w:rFonts w:ascii="Times New Roman" w:hAnsi="Times New Roman" w:cs="Times New Roman"/>
          <w:i/>
        </w:rPr>
        <w:t>-системата има потенциала да доведе до значително подобряване на пътната инфраструктура</w:t>
      </w:r>
      <w:r>
        <w:rPr>
          <w:rFonts w:ascii="Times New Roman" w:hAnsi="Times New Roman" w:cs="Times New Roman"/>
          <w:i/>
        </w:rPr>
        <w:t xml:space="preserve"> в обозрима перспектива</w:t>
      </w:r>
      <w:r w:rsidRPr="000C40E8">
        <w:rPr>
          <w:rFonts w:ascii="Times New Roman" w:hAnsi="Times New Roman" w:cs="Times New Roman"/>
          <w:i/>
        </w:rPr>
        <w:t>.</w:t>
      </w:r>
      <w:r>
        <w:rPr>
          <w:rFonts w:ascii="Times New Roman" w:hAnsi="Times New Roman" w:cs="Times New Roman"/>
          <w:i/>
        </w:rPr>
        <w:t xml:space="preserve"> Изградеността и електрификацията на железопътната инфраструктура е на приемливо ниво, но състоянието й продължава да е проблематично, което – заедно с високата степен на </w:t>
      </w:r>
      <w:proofErr w:type="spellStart"/>
      <w:r>
        <w:rPr>
          <w:rFonts w:ascii="Times New Roman" w:hAnsi="Times New Roman" w:cs="Times New Roman"/>
          <w:i/>
        </w:rPr>
        <w:t>амортизираност</w:t>
      </w:r>
      <w:proofErr w:type="spellEnd"/>
      <w:r>
        <w:rPr>
          <w:rFonts w:ascii="Times New Roman" w:hAnsi="Times New Roman" w:cs="Times New Roman"/>
          <w:i/>
        </w:rPr>
        <w:t xml:space="preserve"> на подвижния и </w:t>
      </w:r>
      <w:proofErr w:type="spellStart"/>
      <w:r>
        <w:rPr>
          <w:rFonts w:ascii="Times New Roman" w:hAnsi="Times New Roman" w:cs="Times New Roman"/>
          <w:i/>
        </w:rPr>
        <w:t>тягов</w:t>
      </w:r>
      <w:proofErr w:type="spellEnd"/>
      <w:r>
        <w:rPr>
          <w:rFonts w:ascii="Times New Roman" w:hAnsi="Times New Roman" w:cs="Times New Roman"/>
          <w:i/>
        </w:rPr>
        <w:t xml:space="preserve"> състав – рефлектира в продължаващ отлив на ползватели на предлаганата услуга в пътническия сегмент. Либерализирането </w:t>
      </w:r>
      <w:r w:rsidRPr="00423C10">
        <w:rPr>
          <w:rFonts w:ascii="Times New Roman" w:hAnsi="Times New Roman" w:cs="Times New Roman"/>
          <w:i/>
        </w:rPr>
        <w:t xml:space="preserve"> на железопътния пазар </w:t>
      </w:r>
      <w:r>
        <w:rPr>
          <w:rFonts w:ascii="Times New Roman" w:hAnsi="Times New Roman" w:cs="Times New Roman"/>
          <w:i/>
        </w:rPr>
        <w:t>за товарни превози</w:t>
      </w:r>
      <w:r w:rsidRPr="00423C10">
        <w:rPr>
          <w:rFonts w:ascii="Times New Roman" w:hAnsi="Times New Roman" w:cs="Times New Roman"/>
          <w:i/>
        </w:rPr>
        <w:t xml:space="preserve"> води до навлизане на частни железопътни компании </w:t>
      </w:r>
      <w:r>
        <w:rPr>
          <w:rFonts w:ascii="Times New Roman" w:hAnsi="Times New Roman" w:cs="Times New Roman"/>
          <w:i/>
        </w:rPr>
        <w:t xml:space="preserve">и </w:t>
      </w:r>
      <w:r w:rsidRPr="00423C10">
        <w:rPr>
          <w:rFonts w:ascii="Times New Roman" w:hAnsi="Times New Roman" w:cs="Times New Roman"/>
          <w:i/>
        </w:rPr>
        <w:t>ръст на относителния дял на железопътния сектор в сегмента</w:t>
      </w:r>
      <w:r>
        <w:rPr>
          <w:rFonts w:ascii="Times New Roman" w:hAnsi="Times New Roman" w:cs="Times New Roman"/>
          <w:i/>
        </w:rPr>
        <w:t xml:space="preserve">, </w:t>
      </w:r>
      <w:r w:rsidRPr="00423C10">
        <w:rPr>
          <w:rFonts w:ascii="Times New Roman" w:hAnsi="Times New Roman" w:cs="Times New Roman"/>
          <w:i/>
        </w:rPr>
        <w:t>при изземване на пазарен дял от пътния товарен транспорт</w:t>
      </w:r>
      <w:r>
        <w:rPr>
          <w:rFonts w:ascii="Times New Roman" w:hAnsi="Times New Roman" w:cs="Times New Roman"/>
          <w:i/>
        </w:rPr>
        <w:t>, който обаче все още запазва доминираща позиция</w:t>
      </w:r>
      <w:r w:rsidRPr="00423C10">
        <w:rPr>
          <w:rFonts w:ascii="Times New Roman" w:hAnsi="Times New Roman" w:cs="Times New Roman"/>
          <w:i/>
        </w:rPr>
        <w:t>.</w:t>
      </w:r>
      <w:r w:rsidRPr="00B92C21">
        <w:t xml:space="preserve"> </w:t>
      </w:r>
      <w:r w:rsidRPr="00B92C21">
        <w:rPr>
          <w:rFonts w:ascii="Times New Roman" w:hAnsi="Times New Roman" w:cs="Times New Roman"/>
          <w:i/>
        </w:rPr>
        <w:t>Водният транспорт в страната остава недостатъчно развит въпреки някои инвестиции през последните години, включително и със средства от ЕС.</w:t>
      </w:r>
      <w:r>
        <w:rPr>
          <w:rFonts w:ascii="Times New Roman" w:hAnsi="Times New Roman" w:cs="Times New Roman"/>
          <w:i/>
        </w:rPr>
        <w:t xml:space="preserve"> Основни проблеми остават </w:t>
      </w:r>
      <w:r w:rsidRPr="00927CE5">
        <w:rPr>
          <w:rFonts w:ascii="Times New Roman" w:hAnsi="Times New Roman" w:cs="Times New Roman"/>
          <w:i/>
        </w:rPr>
        <w:t>влошеното техническо състояние на пристанищните терминали</w:t>
      </w:r>
      <w:r>
        <w:rPr>
          <w:rFonts w:ascii="Times New Roman" w:hAnsi="Times New Roman" w:cs="Times New Roman"/>
          <w:i/>
        </w:rPr>
        <w:t xml:space="preserve">, </w:t>
      </w:r>
      <w:r w:rsidRPr="00927CE5">
        <w:rPr>
          <w:rFonts w:ascii="Times New Roman" w:hAnsi="Times New Roman" w:cs="Times New Roman"/>
          <w:i/>
        </w:rPr>
        <w:t>лошото състояние на  инфраструктурни</w:t>
      </w:r>
      <w:r>
        <w:rPr>
          <w:rFonts w:ascii="Times New Roman" w:hAnsi="Times New Roman" w:cs="Times New Roman"/>
          <w:i/>
        </w:rPr>
        <w:t>те</w:t>
      </w:r>
      <w:r w:rsidRPr="00927CE5">
        <w:rPr>
          <w:rFonts w:ascii="Times New Roman" w:hAnsi="Times New Roman" w:cs="Times New Roman"/>
          <w:i/>
        </w:rPr>
        <w:t xml:space="preserve"> връзки с републиканската пътна и железопътна система </w:t>
      </w:r>
      <w:r>
        <w:rPr>
          <w:rFonts w:ascii="Times New Roman" w:hAnsi="Times New Roman" w:cs="Times New Roman"/>
          <w:i/>
        </w:rPr>
        <w:t>и оставащите</w:t>
      </w:r>
      <w:r w:rsidRPr="00927CE5">
        <w:rPr>
          <w:rFonts w:ascii="Times New Roman" w:hAnsi="Times New Roman" w:cs="Times New Roman"/>
          <w:i/>
        </w:rPr>
        <w:t xml:space="preserve"> навигационни проблеми в българския участък на река Дунав</w:t>
      </w:r>
      <w:r>
        <w:rPr>
          <w:rFonts w:ascii="Times New Roman" w:hAnsi="Times New Roman" w:cs="Times New Roman"/>
          <w:i/>
        </w:rPr>
        <w:t>.</w:t>
      </w:r>
    </w:p>
    <w:p w:rsidR="00AE0F90" w:rsidRPr="001D3BFB"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t xml:space="preserve">Графика </w:t>
      </w:r>
      <w:r w:rsidR="00227FC6">
        <w:rPr>
          <w:rFonts w:ascii="Times New Roman" w:hAnsi="Times New Roman" w:cs="Times New Roman"/>
          <w:b/>
          <w:sz w:val="18"/>
          <w:szCs w:val="18"/>
        </w:rPr>
        <w:t xml:space="preserve">15. </w:t>
      </w:r>
      <w:r>
        <w:rPr>
          <w:rFonts w:ascii="Times New Roman" w:hAnsi="Times New Roman" w:cs="Times New Roman"/>
          <w:b/>
          <w:sz w:val="18"/>
          <w:szCs w:val="18"/>
        </w:rPr>
        <w:t xml:space="preserve">Дял в БДС и заетостта на сектор транспорт (%) и динамика на </w:t>
      </w:r>
      <w:r w:rsidRPr="00DC4A4B">
        <w:rPr>
          <w:rFonts w:ascii="Times New Roman" w:hAnsi="Times New Roman" w:cs="Times New Roman"/>
          <w:b/>
          <w:sz w:val="18"/>
          <w:szCs w:val="18"/>
        </w:rPr>
        <w:t>производителността</w:t>
      </w:r>
      <w:r>
        <w:rPr>
          <w:rFonts w:ascii="Times New Roman" w:hAnsi="Times New Roman" w:cs="Times New Roman"/>
          <w:b/>
          <w:sz w:val="18"/>
          <w:szCs w:val="18"/>
        </w:rPr>
        <w:t xml:space="preserve"> (</w:t>
      </w:r>
      <w:r w:rsidRPr="00DC4A4B">
        <w:rPr>
          <w:rFonts w:ascii="Times New Roman" w:hAnsi="Times New Roman" w:cs="Times New Roman"/>
          <w:b/>
          <w:sz w:val="18"/>
          <w:szCs w:val="18"/>
        </w:rPr>
        <w:t>20</w:t>
      </w:r>
      <w:r>
        <w:rPr>
          <w:rFonts w:ascii="Times New Roman" w:hAnsi="Times New Roman" w:cs="Times New Roman"/>
          <w:b/>
          <w:sz w:val="18"/>
          <w:szCs w:val="18"/>
        </w:rPr>
        <w:t>08</w:t>
      </w:r>
      <w:r w:rsidRPr="00DC4A4B">
        <w:rPr>
          <w:rFonts w:ascii="Times New Roman" w:hAnsi="Times New Roman" w:cs="Times New Roman"/>
          <w:b/>
          <w:sz w:val="18"/>
          <w:szCs w:val="18"/>
        </w:rPr>
        <w:t xml:space="preserve"> г. = 100</w:t>
      </w:r>
      <w:r>
        <w:rPr>
          <w:rFonts w:ascii="Times New Roman" w:hAnsi="Times New Roman" w:cs="Times New Roman"/>
          <w:b/>
          <w:sz w:val="18"/>
          <w:szCs w:val="18"/>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w:drawing>
          <wp:anchor distT="0" distB="0" distL="114300" distR="114300" simplePos="0" relativeHeight="251666944" behindDoc="0" locked="0" layoutInCell="1" allowOverlap="1" wp14:anchorId="226F9C47" wp14:editId="2ECB23CA">
            <wp:simplePos x="0" y="0"/>
            <wp:positionH relativeFrom="column">
              <wp:posOffset>3016885</wp:posOffset>
            </wp:positionH>
            <wp:positionV relativeFrom="paragraph">
              <wp:posOffset>100330</wp:posOffset>
            </wp:positionV>
            <wp:extent cx="3103245" cy="1868170"/>
            <wp:effectExtent l="0" t="0" r="190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103245" cy="1868170"/>
                    </a:xfrm>
                    <a:prstGeom prst="rect">
                      <a:avLst/>
                    </a:prstGeom>
                    <a:noFill/>
                  </pic:spPr>
                </pic:pic>
              </a:graphicData>
            </a:graphic>
            <wp14:sizeRelH relativeFrom="page">
              <wp14:pctWidth>0</wp14:pctWidth>
            </wp14:sizeRelH>
            <wp14:sizeRelV relativeFrom="page">
              <wp14:pctHeight>0</wp14:pctHeight>
            </wp14:sizeRelV>
          </wp:anchor>
        </w:drawing>
      </w:r>
      <w:r w:rsidRPr="003A29C6">
        <w:rPr>
          <w:rFonts w:ascii="Times New Roman" w:eastAsia="Calibri" w:hAnsi="Times New Roman" w:cs="Times New Roman"/>
          <w:b/>
          <w:color w:val="365F91"/>
          <w:lang w:eastAsia="en-US"/>
        </w:rPr>
        <w:t>Сектор транспорт</w:t>
      </w:r>
      <w:r>
        <w:rPr>
          <w:rFonts w:ascii="Times New Roman" w:hAnsi="Times New Roman" w:cs="Times New Roman"/>
        </w:rPr>
        <w:t xml:space="preserve"> генерира средно 6.0% от добавената стойност в икономиката в годините след кризата, като все още не може да възстанови позициите си, достигнати непосредствено преди нея (6.8% дял в БДС през 2008 г.). В сравнителен план, по показателя тегло на сектора в структурата на икономиката, България заема 12-то място в ЕС, като тежестта на транспортния сектор е по-висока от средната за ЕС (колебаеща се между 4.9% и 5.0% в периода, обхващащ кризата и годините след нея). Сравнима е и важността на отрасловата групировка при формирането на заетостта в икономиката, достигаща 6.0% от заетите през 2016 г. в страната (спрямо 5.0% от ангажирания трудов ресурс в общността). </w:t>
      </w:r>
    </w:p>
    <w:p w:rsidR="00AE0F90" w:rsidRDefault="00F4155C"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Автомобилният</w:t>
      </w:r>
      <w:r w:rsidR="00AE0F90" w:rsidRPr="00143588">
        <w:rPr>
          <w:rFonts w:ascii="Times New Roman" w:hAnsi="Times New Roman" w:cs="Times New Roman"/>
        </w:rPr>
        <w:t xml:space="preserve"> транспорт доминира в отрасъла с тегла от 90.4% по отношение на превозените в страната </w:t>
      </w:r>
      <w:r w:rsidR="00AE0F90">
        <w:rPr>
          <w:rFonts w:ascii="Times New Roman" w:hAnsi="Times New Roman" w:cs="Times New Roman"/>
        </w:rPr>
        <w:t>товари</w:t>
      </w:r>
      <w:r w:rsidR="00AE0F90" w:rsidRPr="00143588">
        <w:rPr>
          <w:rFonts w:ascii="Times New Roman" w:hAnsi="Times New Roman" w:cs="Times New Roman"/>
        </w:rPr>
        <w:t xml:space="preserve"> и 86.8% по отношение на превозените в страната пътници през 2016 г. При това подотрасълът засилва позициите си спрямо конкурентния железопътен транспорт по отношение на превозените пътници</w:t>
      </w:r>
      <w:r w:rsidR="00AE0F90" w:rsidRPr="00652C3C">
        <w:rPr>
          <w:rFonts w:ascii="Times New Roman" w:hAnsi="Times New Roman" w:cs="Times New Roman"/>
        </w:rPr>
        <w:t xml:space="preserve"> </w:t>
      </w:r>
      <w:r w:rsidR="00AE0F90" w:rsidRPr="00143588">
        <w:rPr>
          <w:rFonts w:ascii="Times New Roman" w:hAnsi="Times New Roman" w:cs="Times New Roman"/>
        </w:rPr>
        <w:t>през последните десет години, но губи пазарен дял при превозените товари.</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A06FF0">
        <w:rPr>
          <w:rFonts w:ascii="Times New Roman" w:hAnsi="Times New Roman" w:cs="Times New Roman"/>
        </w:rPr>
        <w:t xml:space="preserve">Въпреки бурното развитие в областта на магистралното строителство през последните </w:t>
      </w:r>
      <w:r>
        <w:rPr>
          <w:rFonts w:ascii="Times New Roman" w:hAnsi="Times New Roman" w:cs="Times New Roman"/>
        </w:rPr>
        <w:t xml:space="preserve">десет </w:t>
      </w:r>
      <w:r w:rsidRPr="00A06FF0">
        <w:rPr>
          <w:rFonts w:ascii="Times New Roman" w:hAnsi="Times New Roman" w:cs="Times New Roman"/>
        </w:rPr>
        <w:t xml:space="preserve">години, с отбелязано почти 80% нарастване на дължината на автомагистралите, структурата на </w:t>
      </w:r>
      <w:r w:rsidRPr="00A06FF0">
        <w:rPr>
          <w:rFonts w:ascii="Times New Roman" w:eastAsia="Calibri" w:hAnsi="Times New Roman" w:cs="Times New Roman"/>
          <w:b/>
          <w:color w:val="365F91"/>
          <w:lang w:eastAsia="en-US"/>
        </w:rPr>
        <w:t>пътната мрежа</w:t>
      </w:r>
      <w:r w:rsidRPr="00A06FF0">
        <w:rPr>
          <w:rFonts w:ascii="Times New Roman" w:hAnsi="Times New Roman" w:cs="Times New Roman"/>
        </w:rPr>
        <w:t xml:space="preserve"> остава почти непроменена, като третокласните пътища формират 61.3</w:t>
      </w:r>
      <w:r>
        <w:rPr>
          <w:rFonts w:ascii="Times New Roman" w:hAnsi="Times New Roman" w:cs="Times New Roman"/>
        </w:rPr>
        <w:t>%</w:t>
      </w:r>
      <w:r w:rsidRPr="00A06FF0">
        <w:t xml:space="preserve"> </w:t>
      </w:r>
      <w:r w:rsidRPr="00A06FF0">
        <w:rPr>
          <w:rFonts w:ascii="Times New Roman" w:hAnsi="Times New Roman" w:cs="Times New Roman"/>
        </w:rPr>
        <w:t xml:space="preserve">от общата дължина на републиканската пътна мрежа, следвани от второкласните пътища </w:t>
      </w:r>
      <w:r>
        <w:rPr>
          <w:rFonts w:ascii="Times New Roman" w:hAnsi="Times New Roman" w:cs="Times New Roman"/>
        </w:rPr>
        <w:t>с</w:t>
      </w:r>
      <w:r w:rsidRPr="00A06FF0">
        <w:rPr>
          <w:rFonts w:ascii="Times New Roman" w:hAnsi="Times New Roman" w:cs="Times New Roman"/>
        </w:rPr>
        <w:t xml:space="preserve"> 20.3% </w:t>
      </w:r>
      <w:r>
        <w:rPr>
          <w:rFonts w:ascii="Times New Roman" w:hAnsi="Times New Roman" w:cs="Times New Roman"/>
        </w:rPr>
        <w:t>,</w:t>
      </w:r>
      <w:r w:rsidRPr="00A06FF0">
        <w:rPr>
          <w:rFonts w:ascii="Times New Roman" w:hAnsi="Times New Roman" w:cs="Times New Roman"/>
        </w:rPr>
        <w:t xml:space="preserve"> първокласните пътища </w:t>
      </w:r>
      <w:r>
        <w:rPr>
          <w:rFonts w:ascii="Times New Roman" w:hAnsi="Times New Roman" w:cs="Times New Roman"/>
        </w:rPr>
        <w:t>с</w:t>
      </w:r>
      <w:r w:rsidRPr="00A06FF0">
        <w:rPr>
          <w:rFonts w:ascii="Times New Roman" w:hAnsi="Times New Roman" w:cs="Times New Roman"/>
        </w:rPr>
        <w:t xml:space="preserve"> 14.7%</w:t>
      </w:r>
      <w:r>
        <w:rPr>
          <w:rFonts w:ascii="Times New Roman" w:hAnsi="Times New Roman" w:cs="Times New Roman"/>
        </w:rPr>
        <w:t xml:space="preserve"> и а</w:t>
      </w:r>
      <w:r w:rsidRPr="00A06FF0">
        <w:rPr>
          <w:rFonts w:ascii="Times New Roman" w:hAnsi="Times New Roman" w:cs="Times New Roman"/>
        </w:rPr>
        <w:t>втомагистралите с</w:t>
      </w:r>
      <w:r>
        <w:rPr>
          <w:rFonts w:ascii="Times New Roman" w:hAnsi="Times New Roman" w:cs="Times New Roman"/>
        </w:rPr>
        <w:t xml:space="preserve"> едв</w:t>
      </w:r>
      <w:r w:rsidRPr="00A06FF0">
        <w:rPr>
          <w:rFonts w:ascii="Times New Roman" w:hAnsi="Times New Roman" w:cs="Times New Roman"/>
        </w:rPr>
        <w:t>а 3.7%</w:t>
      </w:r>
      <w:r>
        <w:rPr>
          <w:rFonts w:ascii="Times New Roman" w:hAnsi="Times New Roman" w:cs="Times New Roman"/>
        </w:rPr>
        <w:t xml:space="preserve">. Средната гъстота на пътищата </w:t>
      </w:r>
      <w:r>
        <w:rPr>
          <w:rFonts w:ascii="Times New Roman" w:hAnsi="Times New Roman" w:cs="Times New Roman"/>
          <w:lang w:val="en-US"/>
        </w:rPr>
        <w:t>I-III</w:t>
      </w:r>
      <w:r>
        <w:rPr>
          <w:rFonts w:ascii="Times New Roman" w:hAnsi="Times New Roman" w:cs="Times New Roman"/>
        </w:rPr>
        <w:t xml:space="preserve"> клас възлиза на 0.172 км/км</w:t>
      </w:r>
      <w:r>
        <w:rPr>
          <w:rFonts w:ascii="Times New Roman" w:hAnsi="Times New Roman" w:cs="Times New Roman"/>
          <w:vertAlign w:val="superscript"/>
        </w:rPr>
        <w:t>2</w:t>
      </w:r>
      <w:r>
        <w:rPr>
          <w:rFonts w:ascii="Times New Roman" w:hAnsi="Times New Roman" w:cs="Times New Roman"/>
        </w:rPr>
        <w:t xml:space="preserve">, </w:t>
      </w:r>
      <w:r>
        <w:rPr>
          <w:rFonts w:ascii="Times New Roman" w:hAnsi="Times New Roman" w:cs="Times New Roman"/>
        </w:rPr>
        <w:lastRenderedPageBreak/>
        <w:t>което е съпоставимо със стойностите на показателя в страните от ЕС, но покритието с автомагистрали и скоростни пътища (0.006 км/км</w:t>
      </w:r>
      <w:r>
        <w:rPr>
          <w:rFonts w:ascii="Times New Roman" w:hAnsi="Times New Roman" w:cs="Times New Roman"/>
          <w:vertAlign w:val="superscript"/>
        </w:rPr>
        <w:t>2</w:t>
      </w:r>
      <w:r>
        <w:rPr>
          <w:rFonts w:ascii="Times New Roman" w:hAnsi="Times New Roman" w:cs="Times New Roman"/>
        </w:rPr>
        <w:t>) продължава да изостава значително</w:t>
      </w:r>
      <w:r>
        <w:rPr>
          <w:rStyle w:val="FootnoteReference"/>
          <w:rFonts w:ascii="Times New Roman" w:hAnsi="Times New Roman"/>
        </w:rPr>
        <w:footnoteReference w:id="115"/>
      </w:r>
      <w:r>
        <w:rPr>
          <w:rFonts w:ascii="Times New Roman" w:hAnsi="Times New Roman" w:cs="Times New Roman"/>
        </w:rPr>
        <w:t xml:space="preserve">. </w:t>
      </w:r>
      <w:r w:rsidRPr="00A06FF0">
        <w:rPr>
          <w:rFonts w:ascii="Times New Roman" w:hAnsi="Times New Roman" w:cs="Times New Roman"/>
        </w:rPr>
        <w:t xml:space="preserve">Покритието на страната с автомагистрали и пътища </w:t>
      </w:r>
      <w:r>
        <w:rPr>
          <w:rFonts w:ascii="Times New Roman" w:hAnsi="Times New Roman" w:cs="Times New Roman"/>
          <w:lang w:val="en-US"/>
        </w:rPr>
        <w:t>I</w:t>
      </w:r>
      <w:r w:rsidRPr="00A06FF0">
        <w:rPr>
          <w:rFonts w:ascii="Times New Roman" w:hAnsi="Times New Roman" w:cs="Times New Roman"/>
        </w:rPr>
        <w:t xml:space="preserve"> клас остава неравномерно</w:t>
      </w:r>
      <w:r>
        <w:rPr>
          <w:rFonts w:ascii="Times New Roman" w:hAnsi="Times New Roman" w:cs="Times New Roman"/>
        </w:rPr>
        <w:t xml:space="preserve"> в регионален план</w:t>
      </w:r>
      <w:r w:rsidRPr="00A06FF0">
        <w:rPr>
          <w:rFonts w:ascii="Times New Roman" w:hAnsi="Times New Roman" w:cs="Times New Roman"/>
        </w:rPr>
        <w:t xml:space="preserve">. Пътните направления изток – запад са много по-добре развити от тези в посока север – юг, което до голяма степен се обуславя от релефа на страната. По-високата гъстота на изградените автомагистрали и първокласните пътища в Североизточен, Югозападен и Югоизточен район определя по-добрата </w:t>
      </w:r>
      <w:r>
        <w:rPr>
          <w:rFonts w:ascii="Times New Roman" w:hAnsi="Times New Roman" w:cs="Times New Roman"/>
        </w:rPr>
        <w:t xml:space="preserve">им </w:t>
      </w:r>
      <w:r w:rsidRPr="00A06FF0">
        <w:rPr>
          <w:rFonts w:ascii="Times New Roman" w:hAnsi="Times New Roman" w:cs="Times New Roman"/>
        </w:rPr>
        <w:t>достъпност и комуникативност.</w:t>
      </w:r>
    </w:p>
    <w:p w:rsidR="00AE0F90" w:rsidRPr="001D3961"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Страната все още изостава в процеса на изграждане на ключовата </w:t>
      </w:r>
      <w:r w:rsidRPr="001D3961">
        <w:rPr>
          <w:rFonts w:ascii="Times New Roman" w:hAnsi="Times New Roman" w:cs="Times New Roman"/>
        </w:rPr>
        <w:t>ТEN-T мрежа</w:t>
      </w:r>
      <w:r>
        <w:rPr>
          <w:rFonts w:ascii="Times New Roman" w:hAnsi="Times New Roman" w:cs="Times New Roman"/>
        </w:rPr>
        <w:t>. По данни на ЕК</w:t>
      </w:r>
      <w:r>
        <w:rPr>
          <w:rStyle w:val="FootnoteReference"/>
          <w:rFonts w:ascii="Times New Roman" w:hAnsi="Times New Roman" w:cs="Times New Roman"/>
        </w:rPr>
        <w:footnoteReference w:id="116"/>
      </w:r>
      <w:r>
        <w:rPr>
          <w:rFonts w:ascii="Times New Roman" w:hAnsi="Times New Roman" w:cs="Times New Roman"/>
        </w:rPr>
        <w:t>, към 2015 г. степента на завършеност на отсечките</w:t>
      </w:r>
      <w:r>
        <w:rPr>
          <w:rFonts w:ascii="Times New Roman" w:hAnsi="Times New Roman" w:cs="Times New Roman"/>
          <w:lang w:val="en-US"/>
        </w:rPr>
        <w:t xml:space="preserve"> </w:t>
      </w:r>
      <w:r>
        <w:rPr>
          <w:rFonts w:ascii="Times New Roman" w:hAnsi="Times New Roman" w:cs="Times New Roman"/>
        </w:rPr>
        <w:t xml:space="preserve"> от основната </w:t>
      </w:r>
      <w:r w:rsidRPr="001D3961">
        <w:rPr>
          <w:rFonts w:ascii="Times New Roman" w:hAnsi="Times New Roman" w:cs="Times New Roman"/>
        </w:rPr>
        <w:t>ТEN-T мрежа</w:t>
      </w:r>
      <w:r>
        <w:rPr>
          <w:rFonts w:ascii="Times New Roman" w:hAnsi="Times New Roman" w:cs="Times New Roman"/>
        </w:rPr>
        <w:t xml:space="preserve"> в страната възлиза на едва 50%, което е петият най-нисък резултат в рамките на ЕС. Необходими са усилия и инвестиции за наваксване на изоставането в това отношение, които ще позволят нарастване на пътната безопасност и комфорт при редуциране на времето за пътуване и повишаване на свързаността както между регионите в страната, така и външната им достъпност.</w:t>
      </w:r>
    </w:p>
    <w:p w:rsidR="00AE0F90" w:rsidRPr="00573853" w:rsidRDefault="00AE0F90" w:rsidP="00AE0F90">
      <w:pPr>
        <w:pStyle w:val="ListParagraph"/>
        <w:spacing w:line="269" w:lineRule="auto"/>
        <w:ind w:left="0" w:firstLine="0"/>
        <w:contextualSpacing w:val="0"/>
        <w:jc w:val="both"/>
        <w:rPr>
          <w:rFonts w:ascii="Times New Roman" w:hAnsi="Times New Roman" w:cs="Times New Roman"/>
          <w:highlight w:val="yellow"/>
        </w:rPr>
      </w:pPr>
      <w:r w:rsidRPr="00A06FF0">
        <w:rPr>
          <w:rFonts w:ascii="Times New Roman" w:hAnsi="Times New Roman" w:cs="Times New Roman"/>
        </w:rPr>
        <w:t>Въпреки предприетите през последните години мерки и предвид факта, че извършените инвестиции са недостатъчни спрямо нуждите, няма значимо подобрение на цялостното състояние на пътищата. Около 1/3 от републиканската пътна мрежа остава с лошо  качество на настилката</w:t>
      </w:r>
      <w:r w:rsidRPr="00A06FF0">
        <w:rPr>
          <w:rStyle w:val="FootnoteReference"/>
          <w:rFonts w:ascii="Times New Roman" w:hAnsi="Times New Roman"/>
        </w:rPr>
        <w:footnoteReference w:id="117"/>
      </w:r>
      <w:r w:rsidRPr="00A06FF0">
        <w:rPr>
          <w:rFonts w:ascii="Times New Roman" w:hAnsi="Times New Roman" w:cs="Times New Roman"/>
        </w:rPr>
        <w:t>. Особено тежко е състоянието на пътищата от III клас (42%</w:t>
      </w:r>
      <w:r>
        <w:rPr>
          <w:rStyle w:val="FootnoteReference"/>
          <w:rFonts w:ascii="Times New Roman" w:hAnsi="Times New Roman"/>
        </w:rPr>
        <w:footnoteReference w:id="118"/>
      </w:r>
      <w:r w:rsidRPr="00A06FF0">
        <w:rPr>
          <w:rFonts w:ascii="Times New Roman" w:hAnsi="Times New Roman" w:cs="Times New Roman"/>
        </w:rPr>
        <w:t xml:space="preserve"> с лошо качество), а те осъществяват вътрешнорегионалните връзки и допринасят за преодоляване на различията в регионите, развитие на туризма и привличане на инвестиции.</w:t>
      </w:r>
      <w:r>
        <w:rPr>
          <w:rFonts w:ascii="Times New Roman" w:hAnsi="Times New Roman" w:cs="Times New Roman"/>
        </w:rPr>
        <w:t xml:space="preserve"> Още по-неблагоприятно е състоянието на пътищата от общинската пътна мрежа, като по данни на Агенцията за пътна инфраструктура над 2/3 от общинските пътища са с лошо качество.</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Качеството на пътната инфраструктура – наред с други фактори, като </w:t>
      </w:r>
      <w:r w:rsidRPr="00250A45">
        <w:rPr>
          <w:rFonts w:ascii="Times New Roman" w:hAnsi="Times New Roman" w:cs="Times New Roman"/>
        </w:rPr>
        <w:t>неспазването на правилата за движение</w:t>
      </w:r>
      <w:r>
        <w:rPr>
          <w:rFonts w:ascii="Times New Roman" w:hAnsi="Times New Roman" w:cs="Times New Roman"/>
        </w:rPr>
        <w:t>,</w:t>
      </w:r>
      <w:r w:rsidRPr="00250A45">
        <w:rPr>
          <w:rFonts w:ascii="Times New Roman" w:hAnsi="Times New Roman" w:cs="Times New Roman"/>
        </w:rPr>
        <w:t xml:space="preserve"> шофирането без </w:t>
      </w:r>
      <w:r>
        <w:rPr>
          <w:rFonts w:ascii="Times New Roman" w:hAnsi="Times New Roman" w:cs="Times New Roman"/>
        </w:rPr>
        <w:t>необходимата</w:t>
      </w:r>
      <w:r w:rsidRPr="00250A45">
        <w:rPr>
          <w:rFonts w:ascii="Times New Roman" w:hAnsi="Times New Roman" w:cs="Times New Roman"/>
        </w:rPr>
        <w:t xml:space="preserve"> квалификация</w:t>
      </w:r>
      <w:r>
        <w:rPr>
          <w:rFonts w:ascii="Times New Roman" w:hAnsi="Times New Roman" w:cs="Times New Roman"/>
        </w:rPr>
        <w:t>, стария автомобилен парк и др. –</w:t>
      </w:r>
      <w:r w:rsidRPr="00250A45">
        <w:rPr>
          <w:rFonts w:ascii="Times New Roman" w:hAnsi="Times New Roman" w:cs="Times New Roman"/>
        </w:rPr>
        <w:t xml:space="preserve"> </w:t>
      </w:r>
      <w:r>
        <w:rPr>
          <w:rFonts w:ascii="Times New Roman" w:hAnsi="Times New Roman" w:cs="Times New Roman"/>
        </w:rPr>
        <w:t>е сред основните причини за големия брой на загиналите при пътни инциденти. През последните години броят на смъртните случай при пътно-транспортни произшествия на глава от населението нараства постоянно и достига 99 смъртни случая на един милион жители през 2016 г., което е два пъти повече от средното за ЕС</w:t>
      </w:r>
      <w:r>
        <w:rPr>
          <w:rStyle w:val="FootnoteReference"/>
          <w:rFonts w:ascii="Times New Roman" w:hAnsi="Times New Roman"/>
        </w:rPr>
        <w:footnoteReference w:id="119"/>
      </w:r>
      <w:r>
        <w:rPr>
          <w:rFonts w:ascii="Times New Roman" w:hAnsi="Times New Roman" w:cs="Times New Roman"/>
        </w:rPr>
        <w:t xml:space="preserve">. </w:t>
      </w:r>
      <w:r w:rsidRPr="000D1E8B">
        <w:rPr>
          <w:rFonts w:ascii="Times New Roman" w:hAnsi="Times New Roman" w:cs="Times New Roman"/>
        </w:rPr>
        <w:t xml:space="preserve">Ниското качество на транспортната инфраструктура като цяло – и особено на пътната инфраструктура – поставят България на предпоследно място в ЕС (изпреварвайки единствено Румъния), според изследването </w:t>
      </w:r>
      <w:proofErr w:type="spellStart"/>
      <w:r w:rsidRPr="000D1E8B">
        <w:rPr>
          <w:rFonts w:ascii="Times New Roman" w:hAnsi="Times New Roman" w:cs="Times New Roman"/>
          <w:i/>
        </w:rPr>
        <w:t>Global</w:t>
      </w:r>
      <w:proofErr w:type="spellEnd"/>
      <w:r w:rsidRPr="000D1E8B">
        <w:rPr>
          <w:rFonts w:ascii="Times New Roman" w:hAnsi="Times New Roman" w:cs="Times New Roman"/>
          <w:i/>
        </w:rPr>
        <w:t xml:space="preserve"> </w:t>
      </w:r>
      <w:proofErr w:type="spellStart"/>
      <w:r w:rsidRPr="000D1E8B">
        <w:rPr>
          <w:rFonts w:ascii="Times New Roman" w:hAnsi="Times New Roman" w:cs="Times New Roman"/>
          <w:i/>
        </w:rPr>
        <w:t>Competitiveness</w:t>
      </w:r>
      <w:proofErr w:type="spellEnd"/>
      <w:r w:rsidRPr="000D1E8B">
        <w:rPr>
          <w:rFonts w:ascii="Times New Roman" w:hAnsi="Times New Roman" w:cs="Times New Roman"/>
          <w:i/>
        </w:rPr>
        <w:t xml:space="preserve"> </w:t>
      </w:r>
      <w:proofErr w:type="spellStart"/>
      <w:r w:rsidRPr="000D1E8B">
        <w:rPr>
          <w:rFonts w:ascii="Times New Roman" w:hAnsi="Times New Roman" w:cs="Times New Roman"/>
          <w:i/>
        </w:rPr>
        <w:t>Report</w:t>
      </w:r>
      <w:proofErr w:type="spellEnd"/>
      <w:r w:rsidRPr="000D1E8B">
        <w:rPr>
          <w:rFonts w:ascii="Times New Roman" w:hAnsi="Times New Roman" w:cs="Times New Roman"/>
          <w:i/>
        </w:rPr>
        <w:t xml:space="preserve"> 2017-2018</w:t>
      </w:r>
      <w:r w:rsidRPr="000D1E8B">
        <w:rPr>
          <w:rFonts w:ascii="Times New Roman" w:hAnsi="Times New Roman" w:cs="Times New Roman"/>
        </w:rPr>
        <w:t xml:space="preserve"> на Световния икономически форум.</w:t>
      </w:r>
      <w:r>
        <w:rPr>
          <w:rFonts w:ascii="Times New Roman" w:hAnsi="Times New Roman" w:cs="Times New Roman"/>
        </w:rPr>
        <w:t xml:space="preserve"> Усилията за подобряване на качеството на пътната </w:t>
      </w:r>
      <w:r w:rsidRPr="002F44B7">
        <w:rPr>
          <w:rFonts w:ascii="Times New Roman" w:hAnsi="Times New Roman" w:cs="Times New Roman"/>
        </w:rPr>
        <w:t>инфраструктура</w:t>
      </w:r>
      <w:r>
        <w:rPr>
          <w:rFonts w:ascii="Times New Roman" w:hAnsi="Times New Roman" w:cs="Times New Roman"/>
        </w:rPr>
        <w:t>, в рамките на интервенции, съфинансирани със средства от ЕС по няколко оперативни програми,</w:t>
      </w:r>
      <w:r w:rsidRPr="002F44B7">
        <w:rPr>
          <w:rFonts w:ascii="Times New Roman" w:hAnsi="Times New Roman" w:cs="Times New Roman"/>
        </w:rPr>
        <w:t xml:space="preserve"> и осигуряването на по-ефективни транспортни услуги могат да доведат до осезаеми ползи за гражданите и предприятията, предвид съществения дял от разходите на предприятията и домакинствата, изразходван за транспорт</w:t>
      </w:r>
      <w:r>
        <w:rPr>
          <w:rFonts w:ascii="Times New Roman" w:hAnsi="Times New Roman" w:cs="Times New Roman"/>
        </w:rPr>
        <w:t xml:space="preserve"> (теглото на </w:t>
      </w:r>
      <w:r w:rsidRPr="002F44B7">
        <w:rPr>
          <w:rFonts w:ascii="Times New Roman" w:hAnsi="Times New Roman" w:cs="Times New Roman"/>
        </w:rPr>
        <w:t>транспорта</w:t>
      </w:r>
      <w:r>
        <w:rPr>
          <w:rFonts w:ascii="Times New Roman" w:hAnsi="Times New Roman" w:cs="Times New Roman"/>
        </w:rPr>
        <w:t xml:space="preserve"> в</w:t>
      </w:r>
      <w:r w:rsidRPr="002F44B7">
        <w:rPr>
          <w:rFonts w:ascii="Times New Roman" w:hAnsi="Times New Roman" w:cs="Times New Roman"/>
        </w:rPr>
        <w:t xml:space="preserve"> крайн</w:t>
      </w:r>
      <w:r>
        <w:rPr>
          <w:rFonts w:ascii="Times New Roman" w:hAnsi="Times New Roman" w:cs="Times New Roman"/>
        </w:rPr>
        <w:t xml:space="preserve">ите </w:t>
      </w:r>
      <w:r w:rsidRPr="002F44B7">
        <w:rPr>
          <w:rFonts w:ascii="Times New Roman" w:hAnsi="Times New Roman" w:cs="Times New Roman"/>
        </w:rPr>
        <w:t>потреб</w:t>
      </w:r>
      <w:r>
        <w:rPr>
          <w:rFonts w:ascii="Times New Roman" w:hAnsi="Times New Roman" w:cs="Times New Roman"/>
        </w:rPr>
        <w:t>ителски разходи</w:t>
      </w:r>
      <w:r w:rsidRPr="002F44B7">
        <w:rPr>
          <w:rFonts w:ascii="Times New Roman" w:hAnsi="Times New Roman" w:cs="Times New Roman"/>
        </w:rPr>
        <w:t xml:space="preserve"> на домакинствата </w:t>
      </w:r>
      <w:r>
        <w:rPr>
          <w:rFonts w:ascii="Times New Roman" w:hAnsi="Times New Roman" w:cs="Times New Roman"/>
        </w:rPr>
        <w:t>възлиза на около и над</w:t>
      </w:r>
      <w:r w:rsidRPr="002F44B7">
        <w:rPr>
          <w:rFonts w:ascii="Times New Roman" w:hAnsi="Times New Roman" w:cs="Times New Roman"/>
        </w:rPr>
        <w:t xml:space="preserve"> 15%</w:t>
      </w:r>
      <w:r>
        <w:rPr>
          <w:rFonts w:ascii="Times New Roman" w:hAnsi="Times New Roman" w:cs="Times New Roman"/>
        </w:rPr>
        <w:t>)</w:t>
      </w:r>
      <w:r>
        <w:rPr>
          <w:rStyle w:val="FootnoteReference"/>
          <w:rFonts w:ascii="Times New Roman" w:hAnsi="Times New Roman"/>
        </w:rPr>
        <w:footnoteReference w:id="120"/>
      </w:r>
      <w:r w:rsidRPr="002F44B7">
        <w:rPr>
          <w:rFonts w:ascii="Times New Roman" w:hAnsi="Times New Roman" w:cs="Times New Roman"/>
        </w:rPr>
        <w:t>.</w:t>
      </w:r>
      <w:r>
        <w:rPr>
          <w:rFonts w:ascii="Times New Roman" w:hAnsi="Times New Roman" w:cs="Times New Roman"/>
        </w:rPr>
        <w:t xml:space="preserve"> Предстоящото през 2019 г. въвеждане на </w:t>
      </w:r>
      <w:proofErr w:type="spellStart"/>
      <w:r>
        <w:rPr>
          <w:rFonts w:ascii="Times New Roman" w:hAnsi="Times New Roman" w:cs="Times New Roman"/>
        </w:rPr>
        <w:t>тол</w:t>
      </w:r>
      <w:proofErr w:type="spellEnd"/>
      <w:r>
        <w:rPr>
          <w:rFonts w:ascii="Times New Roman" w:hAnsi="Times New Roman" w:cs="Times New Roman"/>
        </w:rPr>
        <w:t xml:space="preserve">-системата (при която използването на пътищата от републиканската пътна мрежа от </w:t>
      </w:r>
      <w:r w:rsidRPr="00277355">
        <w:rPr>
          <w:rFonts w:ascii="Times New Roman" w:hAnsi="Times New Roman" w:cs="Times New Roman"/>
        </w:rPr>
        <w:t xml:space="preserve">всички превозни средства с допустима маса над 3.5 тона </w:t>
      </w:r>
      <w:r>
        <w:rPr>
          <w:rFonts w:ascii="Times New Roman" w:hAnsi="Times New Roman" w:cs="Times New Roman"/>
        </w:rPr>
        <w:t xml:space="preserve">ще се заплаща на база действително изминато разстояние) има потенциала да доведе до значително подобряване на пътната инфраструктура, </w:t>
      </w:r>
      <w:proofErr w:type="spellStart"/>
      <w:r>
        <w:rPr>
          <w:rFonts w:ascii="Times New Roman" w:hAnsi="Times New Roman" w:cs="Times New Roman"/>
        </w:rPr>
        <w:t>т.к</w:t>
      </w:r>
      <w:proofErr w:type="spellEnd"/>
      <w:r>
        <w:rPr>
          <w:rFonts w:ascii="Times New Roman" w:hAnsi="Times New Roman" w:cs="Times New Roman"/>
        </w:rPr>
        <w:t>. предварителните разчети сочат, от една страна, че генерираните приходи ще надвишават значително текущите годишни постъпления, а от друга – диференциацията на заплащаната такса според качеството на пътната отсечка ще създаде стимул за цялостно повишаване на качеството.</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7D5137">
        <w:rPr>
          <w:rFonts w:ascii="Times New Roman" w:hAnsi="Times New Roman" w:cs="Times New Roman"/>
        </w:rPr>
        <w:lastRenderedPageBreak/>
        <w:t xml:space="preserve">Общата дължина на </w:t>
      </w:r>
      <w:r w:rsidRPr="00932BF3">
        <w:rPr>
          <w:rFonts w:ascii="Times New Roman" w:eastAsia="Calibri" w:hAnsi="Times New Roman" w:cs="Times New Roman"/>
          <w:b/>
          <w:color w:val="365F91"/>
          <w:lang w:eastAsia="en-US"/>
        </w:rPr>
        <w:t xml:space="preserve">железопътните линии </w:t>
      </w:r>
      <w:r w:rsidRPr="00932BF3">
        <w:rPr>
          <w:rFonts w:ascii="Times New Roman" w:hAnsi="Times New Roman" w:cs="Times New Roman"/>
        </w:rPr>
        <w:t>в</w:t>
      </w:r>
      <w:r w:rsidRPr="007D5137">
        <w:rPr>
          <w:rFonts w:ascii="Times New Roman" w:hAnsi="Times New Roman" w:cs="Times New Roman"/>
        </w:rPr>
        <w:t xml:space="preserve"> края на 2017 г. е 4 030 км, като в рамките на последните десет години показателят показва относителна устойчивост въпреки незначителното му намаление. Плътността на железопътните линии възлиза на 36.6 км на 1 000 км</w:t>
      </w:r>
      <w:r w:rsidRPr="007D5137">
        <w:rPr>
          <w:rFonts w:ascii="Times New Roman" w:hAnsi="Times New Roman" w:cs="Times New Roman"/>
          <w:vertAlign w:val="superscript"/>
        </w:rPr>
        <w:t>2</w:t>
      </w:r>
      <w:r w:rsidRPr="007D5137">
        <w:rPr>
          <w:rFonts w:ascii="Times New Roman" w:hAnsi="Times New Roman" w:cs="Times New Roman"/>
        </w:rPr>
        <w:t xml:space="preserve">, стойност, която е </w:t>
      </w:r>
      <w:r>
        <w:rPr>
          <w:rFonts w:ascii="Times New Roman" w:hAnsi="Times New Roman" w:cs="Times New Roman"/>
        </w:rPr>
        <w:t>по-висока</w:t>
      </w:r>
      <w:r>
        <w:rPr>
          <w:rFonts w:ascii="Times New Roman" w:hAnsi="Times New Roman" w:cs="Times New Roman"/>
          <w:lang w:val="en-US"/>
        </w:rPr>
        <w:t xml:space="preserve"> </w:t>
      </w:r>
      <w:r>
        <w:rPr>
          <w:rFonts w:ascii="Times New Roman" w:hAnsi="Times New Roman" w:cs="Times New Roman"/>
        </w:rPr>
        <w:t>от</w:t>
      </w:r>
      <w:r w:rsidRPr="007D5137">
        <w:rPr>
          <w:rFonts w:ascii="Times New Roman" w:hAnsi="Times New Roman" w:cs="Times New Roman"/>
        </w:rPr>
        <w:t xml:space="preserve"> наблюдаваната в </w:t>
      </w:r>
      <w:proofErr w:type="spellStart"/>
      <w:r w:rsidRPr="007D5137">
        <w:rPr>
          <w:rFonts w:ascii="Times New Roman" w:hAnsi="Times New Roman" w:cs="Times New Roman"/>
        </w:rPr>
        <w:t>Прибалтийските</w:t>
      </w:r>
      <w:proofErr w:type="spellEnd"/>
      <w:r w:rsidRPr="007D5137">
        <w:rPr>
          <w:rFonts w:ascii="Times New Roman" w:hAnsi="Times New Roman" w:cs="Times New Roman"/>
        </w:rPr>
        <w:t xml:space="preserve"> републики, например, и сравнима с тази в Румъния. </w:t>
      </w:r>
      <w:r>
        <w:rPr>
          <w:rFonts w:ascii="Times New Roman" w:hAnsi="Times New Roman" w:cs="Times New Roman"/>
        </w:rPr>
        <w:t xml:space="preserve">Поради естествения релеф на страната и концентрацията на населението, разпределението на </w:t>
      </w:r>
      <w:r w:rsidRPr="007D5137">
        <w:rPr>
          <w:rFonts w:ascii="Times New Roman" w:hAnsi="Times New Roman" w:cs="Times New Roman"/>
        </w:rPr>
        <w:t>железопътните линии</w:t>
      </w:r>
      <w:r>
        <w:rPr>
          <w:rFonts w:ascii="Times New Roman" w:hAnsi="Times New Roman" w:cs="Times New Roman"/>
        </w:rPr>
        <w:t xml:space="preserve"> е небалансирано в териториален план. Към 2017 г. </w:t>
      </w:r>
      <w:r w:rsidRPr="007D5137">
        <w:rPr>
          <w:rFonts w:ascii="Times New Roman" w:hAnsi="Times New Roman" w:cs="Times New Roman"/>
        </w:rPr>
        <w:t xml:space="preserve">71.2% </w:t>
      </w:r>
      <w:r>
        <w:rPr>
          <w:rFonts w:ascii="Times New Roman" w:hAnsi="Times New Roman" w:cs="Times New Roman"/>
        </w:rPr>
        <w:t xml:space="preserve">от </w:t>
      </w:r>
      <w:r w:rsidRPr="007D5137">
        <w:rPr>
          <w:rFonts w:ascii="Times New Roman" w:hAnsi="Times New Roman" w:cs="Times New Roman"/>
        </w:rPr>
        <w:t>железопътните линии са електрифицирани</w:t>
      </w:r>
      <w:r>
        <w:rPr>
          <w:rFonts w:ascii="Times New Roman" w:hAnsi="Times New Roman" w:cs="Times New Roman"/>
        </w:rPr>
        <w:t>, отбелязвайки слабо нарастване през годините</w:t>
      </w:r>
      <w:r w:rsidRPr="007D5137">
        <w:rPr>
          <w:rFonts w:ascii="Times New Roman" w:hAnsi="Times New Roman" w:cs="Times New Roman"/>
        </w:rPr>
        <w:t>.</w:t>
      </w:r>
      <w:r>
        <w:rPr>
          <w:rFonts w:ascii="Times New Roman" w:hAnsi="Times New Roman" w:cs="Times New Roman"/>
        </w:rPr>
        <w:t xml:space="preserve"> Този процент е значително по-висок в сравнение с относителния дял на електрифицираните железопътни линии в останалите </w:t>
      </w:r>
      <w:proofErr w:type="spellStart"/>
      <w:r>
        <w:rPr>
          <w:rFonts w:ascii="Times New Roman" w:hAnsi="Times New Roman" w:cs="Times New Roman"/>
        </w:rPr>
        <w:t>новоприсъединили</w:t>
      </w:r>
      <w:proofErr w:type="spellEnd"/>
      <w:r>
        <w:rPr>
          <w:rFonts w:ascii="Times New Roman" w:hAnsi="Times New Roman" w:cs="Times New Roman"/>
        </w:rPr>
        <w:t xml:space="preserve"> се страни. </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Отварянето на железопътния пазар</w:t>
      </w:r>
      <w:r w:rsidRPr="00C915BB">
        <w:rPr>
          <w:rFonts w:ascii="Times New Roman" w:hAnsi="Times New Roman" w:cs="Times New Roman"/>
        </w:rPr>
        <w:t xml:space="preserve"> в </w:t>
      </w:r>
      <w:r>
        <w:rPr>
          <w:rFonts w:ascii="Times New Roman" w:hAnsi="Times New Roman" w:cs="Times New Roman"/>
        </w:rPr>
        <w:t>страната</w:t>
      </w:r>
      <w:r w:rsidRPr="00C915BB">
        <w:rPr>
          <w:rFonts w:ascii="Times New Roman" w:hAnsi="Times New Roman" w:cs="Times New Roman"/>
        </w:rPr>
        <w:t xml:space="preserve">, </w:t>
      </w:r>
      <w:r>
        <w:rPr>
          <w:rFonts w:ascii="Times New Roman" w:hAnsi="Times New Roman" w:cs="Times New Roman"/>
        </w:rPr>
        <w:t>води до навлизане на частни</w:t>
      </w:r>
      <w:r w:rsidRPr="00C915BB">
        <w:rPr>
          <w:rFonts w:ascii="Times New Roman" w:hAnsi="Times New Roman" w:cs="Times New Roman"/>
        </w:rPr>
        <w:t xml:space="preserve"> железопътни компании за товарен транспорт. </w:t>
      </w:r>
      <w:r w:rsidRPr="00751C8A">
        <w:rPr>
          <w:rFonts w:ascii="Times New Roman" w:hAnsi="Times New Roman" w:cs="Times New Roman"/>
        </w:rPr>
        <w:t>Пазарът на железопътни товарни превози в България е сред най-отворените за конкуренция: конкурентите на основния оператор имат пазарен дял от 48</w:t>
      </w:r>
      <w:r>
        <w:rPr>
          <w:rFonts w:ascii="Times New Roman" w:hAnsi="Times New Roman" w:cs="Times New Roman"/>
        </w:rPr>
        <w:t>.</w:t>
      </w:r>
      <w:r w:rsidRPr="00751C8A">
        <w:rPr>
          <w:rFonts w:ascii="Times New Roman" w:hAnsi="Times New Roman" w:cs="Times New Roman"/>
        </w:rPr>
        <w:t>8%, третото най-високо ниво в ЕС</w:t>
      </w:r>
      <w:r>
        <w:rPr>
          <w:rStyle w:val="FootnoteReference"/>
          <w:rFonts w:ascii="Times New Roman" w:hAnsi="Times New Roman"/>
        </w:rPr>
        <w:footnoteReference w:id="121"/>
      </w:r>
      <w:r w:rsidRPr="00751C8A">
        <w:rPr>
          <w:rFonts w:ascii="Times New Roman" w:hAnsi="Times New Roman" w:cs="Times New Roman"/>
        </w:rPr>
        <w:t xml:space="preserve">. </w:t>
      </w:r>
      <w:r>
        <w:rPr>
          <w:rFonts w:ascii="Times New Roman" w:hAnsi="Times New Roman" w:cs="Times New Roman"/>
        </w:rPr>
        <w:t xml:space="preserve">Повишената конкуренция в сектора се свързва с наблюдавания ръст на относителния дял на железопътния сектор в сегмента (при изземване на пазарен дял от </w:t>
      </w:r>
      <w:r w:rsidR="00F4155C">
        <w:rPr>
          <w:rFonts w:ascii="Times New Roman" w:hAnsi="Times New Roman" w:cs="Times New Roman"/>
        </w:rPr>
        <w:t>автомобилния</w:t>
      </w:r>
      <w:r>
        <w:rPr>
          <w:rFonts w:ascii="Times New Roman" w:hAnsi="Times New Roman" w:cs="Times New Roman"/>
        </w:rPr>
        <w:t xml:space="preserve"> товарен транспорт)</w:t>
      </w:r>
      <w:r>
        <w:rPr>
          <w:rFonts w:ascii="Times New Roman" w:hAnsi="Times New Roman" w:cs="Times New Roman"/>
          <w:lang w:val="en-US"/>
        </w:rPr>
        <w:t xml:space="preserve"> </w:t>
      </w:r>
      <w:r>
        <w:rPr>
          <w:rFonts w:ascii="Times New Roman" w:hAnsi="Times New Roman" w:cs="Times New Roman"/>
        </w:rPr>
        <w:t xml:space="preserve">в годините след кризата. Същевременно, </w:t>
      </w:r>
      <w:proofErr w:type="spellStart"/>
      <w:r>
        <w:rPr>
          <w:rFonts w:ascii="Times New Roman" w:hAnsi="Times New Roman" w:cs="Times New Roman"/>
        </w:rPr>
        <w:t>нелиберализираният</w:t>
      </w:r>
      <w:proofErr w:type="spellEnd"/>
      <w:r>
        <w:rPr>
          <w:rFonts w:ascii="Times New Roman" w:hAnsi="Times New Roman" w:cs="Times New Roman"/>
        </w:rPr>
        <w:t xml:space="preserve"> сегмент за превоз на пътници ежегодно и устойчиво намалява пазарното си присъствие. </w:t>
      </w:r>
      <w:r w:rsidRPr="00751C8A">
        <w:rPr>
          <w:rFonts w:ascii="Times New Roman" w:hAnsi="Times New Roman" w:cs="Times New Roman"/>
        </w:rPr>
        <w:t>Железопътните услуги продължават да се възприемат като един от най-лошо функциониращите сектори, като удовлетворението на потребителите от железопътен транспорт е най-ниското в ЕС</w:t>
      </w:r>
      <w:r>
        <w:rPr>
          <w:rStyle w:val="FootnoteReference"/>
          <w:rFonts w:ascii="Times New Roman" w:hAnsi="Times New Roman"/>
        </w:rPr>
        <w:footnoteReference w:id="122"/>
      </w:r>
      <w:r w:rsidRPr="00751C8A">
        <w:rPr>
          <w:rFonts w:ascii="Times New Roman" w:hAnsi="Times New Roman" w:cs="Times New Roman"/>
        </w:rPr>
        <w:t>.</w:t>
      </w:r>
      <w:r w:rsidRPr="002F44B7">
        <w:rPr>
          <w:rFonts w:ascii="Times New Roman" w:hAnsi="Times New Roman" w:cs="Times New Roman"/>
        </w:rPr>
        <w:t xml:space="preserve"> </w:t>
      </w:r>
      <w:r>
        <w:rPr>
          <w:rFonts w:ascii="Times New Roman" w:hAnsi="Times New Roman" w:cs="Times New Roman"/>
        </w:rPr>
        <w:t>Въпреки инвестициите в железопътната инфраструктура през последните години (в т.ч. със средства от ЕС), продължават да са налице ограничения и предизвикателства, които възпрепятстват разгръщането на потенциала на железопътния транспорт за допълнителен растеж.</w:t>
      </w:r>
      <w:r w:rsidRPr="00E25F0D">
        <w:t xml:space="preserve"> </w:t>
      </w:r>
      <w:r w:rsidRPr="00E25F0D">
        <w:rPr>
          <w:rFonts w:ascii="Times New Roman" w:hAnsi="Times New Roman" w:cs="Times New Roman"/>
        </w:rPr>
        <w:t>Интегрирана</w:t>
      </w:r>
      <w:r>
        <w:rPr>
          <w:rFonts w:ascii="Times New Roman" w:hAnsi="Times New Roman" w:cs="Times New Roman"/>
        </w:rPr>
        <w:t>та</w:t>
      </w:r>
      <w:r w:rsidRPr="00E25F0D">
        <w:rPr>
          <w:rFonts w:ascii="Times New Roman" w:hAnsi="Times New Roman" w:cs="Times New Roman"/>
        </w:rPr>
        <w:t xml:space="preserve"> транспортна стратегия в периода до 2030 г.</w:t>
      </w:r>
      <w:r>
        <w:rPr>
          <w:rFonts w:ascii="Times New Roman" w:hAnsi="Times New Roman" w:cs="Times New Roman"/>
        </w:rPr>
        <w:t xml:space="preserve"> посочва като такива:</w:t>
      </w:r>
    </w:p>
    <w:p w:rsidR="00AE0F90" w:rsidRDefault="00AE0F90" w:rsidP="00AE0F90">
      <w:pPr>
        <w:pStyle w:val="ListParagraph"/>
        <w:numPr>
          <w:ilvl w:val="0"/>
          <w:numId w:val="15"/>
        </w:numPr>
        <w:spacing w:after="0" w:line="269" w:lineRule="auto"/>
        <w:ind w:left="714" w:hanging="357"/>
        <w:contextualSpacing w:val="0"/>
        <w:jc w:val="both"/>
        <w:rPr>
          <w:rFonts w:ascii="Times New Roman" w:hAnsi="Times New Roman" w:cs="Times New Roman"/>
        </w:rPr>
      </w:pPr>
      <w:r w:rsidRPr="00E25F0D">
        <w:rPr>
          <w:rFonts w:ascii="Times New Roman" w:hAnsi="Times New Roman" w:cs="Times New Roman"/>
        </w:rPr>
        <w:t>Конвенционалната железопътна мрежа не създава условия за повишаване на качеството на предлаганите услуги на пътнически и товарни превози</w:t>
      </w:r>
      <w:r>
        <w:rPr>
          <w:rFonts w:ascii="Times New Roman" w:hAnsi="Times New Roman" w:cs="Times New Roman"/>
        </w:rPr>
        <w:t>;</w:t>
      </w:r>
    </w:p>
    <w:p w:rsidR="00AE0F90" w:rsidRDefault="00AE0F90" w:rsidP="00AE0F90">
      <w:pPr>
        <w:pStyle w:val="ListParagraph"/>
        <w:numPr>
          <w:ilvl w:val="0"/>
          <w:numId w:val="15"/>
        </w:numPr>
        <w:spacing w:after="0" w:line="269" w:lineRule="auto"/>
        <w:ind w:left="714" w:hanging="357"/>
        <w:contextualSpacing w:val="0"/>
        <w:jc w:val="both"/>
        <w:rPr>
          <w:rFonts w:ascii="Times New Roman" w:hAnsi="Times New Roman" w:cs="Times New Roman"/>
        </w:rPr>
      </w:pPr>
      <w:r w:rsidRPr="00E25F0D">
        <w:rPr>
          <w:rFonts w:ascii="Times New Roman" w:hAnsi="Times New Roman" w:cs="Times New Roman"/>
        </w:rPr>
        <w:t>Средната техническа скорост за движение на пътническите влакове е една от най-ниските в Европа. При проектни скорости 120÷130 км/ч, движението на влаковете се осъществява с 75÷80 км/ч, а в определени участъци тя е ограничена до 40-60 км/ч., за да се гарантира безопасността на движението</w:t>
      </w:r>
      <w:r>
        <w:rPr>
          <w:rFonts w:ascii="Times New Roman" w:hAnsi="Times New Roman" w:cs="Times New Roman"/>
        </w:rPr>
        <w:t>;</w:t>
      </w:r>
    </w:p>
    <w:p w:rsidR="00AE0F90" w:rsidRDefault="00AE0F90" w:rsidP="00AE0F90">
      <w:pPr>
        <w:pStyle w:val="ListParagraph"/>
        <w:numPr>
          <w:ilvl w:val="0"/>
          <w:numId w:val="15"/>
        </w:numPr>
        <w:spacing w:after="0" w:line="269" w:lineRule="auto"/>
        <w:ind w:left="714" w:hanging="357"/>
        <w:contextualSpacing w:val="0"/>
        <w:jc w:val="both"/>
        <w:rPr>
          <w:rFonts w:ascii="Times New Roman" w:hAnsi="Times New Roman" w:cs="Times New Roman"/>
        </w:rPr>
      </w:pPr>
      <w:r w:rsidRPr="00E25F0D">
        <w:rPr>
          <w:rFonts w:ascii="Times New Roman" w:hAnsi="Times New Roman" w:cs="Times New Roman"/>
        </w:rPr>
        <w:t>Зачестяването на ремонтните дейности, извършвани в участъци от железопътната мрежа намалява възможностите за предоставяне на качествена услуга. Трансбордиране на пътниците, чрез превоз с автобуси, води до влошаване качеството на обслужване, загуба на пазарни позиции и отлив на клиентите</w:t>
      </w:r>
      <w:r>
        <w:rPr>
          <w:rFonts w:ascii="Times New Roman" w:hAnsi="Times New Roman" w:cs="Times New Roman"/>
        </w:rPr>
        <w:t>;</w:t>
      </w:r>
    </w:p>
    <w:p w:rsidR="00AE0F90" w:rsidRDefault="00AE0F90" w:rsidP="00AE0F90">
      <w:pPr>
        <w:pStyle w:val="ListParagraph"/>
        <w:numPr>
          <w:ilvl w:val="0"/>
          <w:numId w:val="15"/>
        </w:numPr>
        <w:spacing w:after="0" w:line="269" w:lineRule="auto"/>
        <w:ind w:left="714" w:hanging="357"/>
        <w:contextualSpacing w:val="0"/>
        <w:jc w:val="both"/>
        <w:rPr>
          <w:rFonts w:ascii="Times New Roman" w:hAnsi="Times New Roman" w:cs="Times New Roman"/>
        </w:rPr>
      </w:pPr>
      <w:r w:rsidRPr="00E25F0D">
        <w:rPr>
          <w:rFonts w:ascii="Times New Roman" w:hAnsi="Times New Roman" w:cs="Times New Roman"/>
        </w:rPr>
        <w:t xml:space="preserve">Отмяната или закъсненията на влакове са често срещано явление, поради липса на експлоатационно годен </w:t>
      </w:r>
      <w:proofErr w:type="spellStart"/>
      <w:r w:rsidRPr="00E25F0D">
        <w:rPr>
          <w:rFonts w:ascii="Times New Roman" w:hAnsi="Times New Roman" w:cs="Times New Roman"/>
        </w:rPr>
        <w:t>тягов</w:t>
      </w:r>
      <w:proofErr w:type="spellEnd"/>
      <w:r w:rsidRPr="00E25F0D">
        <w:rPr>
          <w:rFonts w:ascii="Times New Roman" w:hAnsi="Times New Roman" w:cs="Times New Roman"/>
        </w:rPr>
        <w:t xml:space="preserve"> подвижен състав</w:t>
      </w:r>
      <w:r>
        <w:rPr>
          <w:rFonts w:ascii="Times New Roman" w:hAnsi="Times New Roman" w:cs="Times New Roman"/>
        </w:rPr>
        <w:t>;</w:t>
      </w:r>
    </w:p>
    <w:p w:rsidR="00AE0F90" w:rsidRDefault="00AE0F90" w:rsidP="00AE0F90">
      <w:pPr>
        <w:pStyle w:val="ListParagraph"/>
        <w:numPr>
          <w:ilvl w:val="0"/>
          <w:numId w:val="15"/>
        </w:numPr>
        <w:spacing w:after="0" w:line="269" w:lineRule="auto"/>
        <w:ind w:left="714" w:hanging="357"/>
        <w:contextualSpacing w:val="0"/>
        <w:jc w:val="both"/>
        <w:rPr>
          <w:rFonts w:ascii="Times New Roman" w:hAnsi="Times New Roman" w:cs="Times New Roman"/>
        </w:rPr>
      </w:pPr>
      <w:r w:rsidRPr="00E25F0D">
        <w:rPr>
          <w:rFonts w:ascii="Times New Roman" w:hAnsi="Times New Roman" w:cs="Times New Roman"/>
        </w:rPr>
        <w:t>Значителна част от подвижния състав не отговаря на европейските стандарти по отношение комфорт, хигиена и качество, а поддържането и ремонта на остарелия парк изискват значителни средства</w:t>
      </w:r>
      <w:r>
        <w:rPr>
          <w:rFonts w:ascii="Times New Roman" w:hAnsi="Times New Roman" w:cs="Times New Roman"/>
        </w:rPr>
        <w:t>;</w:t>
      </w:r>
    </w:p>
    <w:p w:rsidR="00AE0F90" w:rsidRPr="00E25F0D" w:rsidRDefault="00AE0F90" w:rsidP="00AE0F90">
      <w:pPr>
        <w:pStyle w:val="ListParagraph"/>
        <w:numPr>
          <w:ilvl w:val="0"/>
          <w:numId w:val="15"/>
        </w:numPr>
        <w:spacing w:line="269" w:lineRule="auto"/>
        <w:ind w:left="714" w:hanging="357"/>
        <w:contextualSpacing w:val="0"/>
        <w:jc w:val="both"/>
        <w:rPr>
          <w:rFonts w:ascii="Times New Roman" w:hAnsi="Times New Roman" w:cs="Times New Roman"/>
        </w:rPr>
      </w:pPr>
      <w:r w:rsidRPr="00E25F0D">
        <w:rPr>
          <w:rFonts w:ascii="Times New Roman" w:hAnsi="Times New Roman" w:cs="Times New Roman"/>
        </w:rPr>
        <w:t>Липсват адекватни информационни системи, което води до неизпълнение на изискванията за оперативна съвместимост и невъзможност за прилагане на съвременните информационни технологии в транспортното планиране и управление на превозния процес</w:t>
      </w:r>
      <w:r>
        <w:rPr>
          <w:rStyle w:val="FootnoteReference"/>
          <w:rFonts w:ascii="Times New Roman" w:hAnsi="Times New Roman"/>
        </w:rPr>
        <w:footnoteReference w:id="123"/>
      </w:r>
      <w:r w:rsidRPr="00E25F0D">
        <w:rPr>
          <w:rFonts w:ascii="Times New Roman" w:hAnsi="Times New Roman" w:cs="Times New Roman"/>
        </w:rPr>
        <w:t>.</w:t>
      </w:r>
    </w:p>
    <w:p w:rsidR="00AE0F90" w:rsidRPr="001D3BFB"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lastRenderedPageBreak/>
        <w:t>Графика</w:t>
      </w:r>
      <w:r w:rsidR="00227FC6">
        <w:rPr>
          <w:rFonts w:ascii="Times New Roman" w:hAnsi="Times New Roman" w:cs="Times New Roman"/>
          <w:b/>
          <w:sz w:val="18"/>
          <w:szCs w:val="18"/>
        </w:rPr>
        <w:t xml:space="preserve"> 16.</w:t>
      </w:r>
      <w:r w:rsidRPr="00DC4A4B">
        <w:rPr>
          <w:rFonts w:ascii="Times New Roman" w:hAnsi="Times New Roman" w:cs="Times New Roman"/>
          <w:b/>
          <w:sz w:val="18"/>
          <w:szCs w:val="18"/>
        </w:rPr>
        <w:t xml:space="preserve"> </w:t>
      </w:r>
      <w:r>
        <w:rPr>
          <w:rFonts w:ascii="Times New Roman" w:hAnsi="Times New Roman" w:cs="Times New Roman"/>
          <w:b/>
          <w:sz w:val="18"/>
          <w:szCs w:val="18"/>
          <w:lang w:val="en-GB"/>
        </w:rPr>
        <w:t xml:space="preserve">Logistic Performance Index </w:t>
      </w:r>
      <w:r w:rsidRPr="005F727A">
        <w:rPr>
          <w:rFonts w:ascii="Times New Roman" w:hAnsi="Times New Roman" w:cs="Times New Roman"/>
          <w:b/>
          <w:sz w:val="18"/>
          <w:szCs w:val="18"/>
        </w:rPr>
        <w:t>2018: България и ЕС</w:t>
      </w:r>
    </w:p>
    <w:p w:rsidR="00AE0F90" w:rsidRPr="00E34E9A"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w:drawing>
          <wp:anchor distT="0" distB="0" distL="114300" distR="114300" simplePos="0" relativeHeight="251667968" behindDoc="0" locked="0" layoutInCell="1" allowOverlap="1" wp14:anchorId="4228C79C" wp14:editId="317E9399">
            <wp:simplePos x="0" y="0"/>
            <wp:positionH relativeFrom="margin">
              <wp:align>right</wp:align>
            </wp:positionH>
            <wp:positionV relativeFrom="paragraph">
              <wp:posOffset>132715</wp:posOffset>
            </wp:positionV>
            <wp:extent cx="3105785" cy="186690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105785" cy="186690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rPr>
        <w:t xml:space="preserve">Според </w:t>
      </w:r>
      <w:r w:rsidRPr="005F727A">
        <w:rPr>
          <w:rFonts w:ascii="Times New Roman" w:hAnsi="Times New Roman" w:cs="Times New Roman"/>
          <w:i/>
          <w:lang w:val="en-GB"/>
        </w:rPr>
        <w:t xml:space="preserve">Logistic Performance Index </w:t>
      </w:r>
      <w:r>
        <w:rPr>
          <w:rFonts w:ascii="Times New Roman" w:hAnsi="Times New Roman" w:cs="Times New Roman"/>
        </w:rPr>
        <w:t>на Световната банка цялостното представяне в областта на логистиката отрежда на страната 52-ро място в света и 24-то място в ЕС през 2018 г. За последните десет години е отбелязан известен напредък в това отношение, при завоюване на 3 позиции в глобален план и 1 позиция – в рамките на ЕС. Най-значимо изоставане на страната продължава да се наблюдава в областта на к</w:t>
      </w:r>
      <w:r w:rsidRPr="00AB57B5">
        <w:rPr>
          <w:rFonts w:ascii="Times New Roman" w:hAnsi="Times New Roman" w:cs="Times New Roman"/>
        </w:rPr>
        <w:t>ачеството на инфраструктурата</w:t>
      </w:r>
      <w:r>
        <w:rPr>
          <w:rFonts w:ascii="Times New Roman" w:hAnsi="Times New Roman" w:cs="Times New Roman"/>
        </w:rPr>
        <w:t xml:space="preserve"> (64-то място в света, 27-мо място в ЕС). Незадоволително остава и представянето по отношение на навременност на доставките, свързано както с инфраструктурните проблеми, така и в известна степен с митническото обслужване и времето, необходимо за освобождаване на стоките от граничния контрол. Напредък е отбелязан по отношение на л</w:t>
      </w:r>
      <w:r w:rsidRPr="00E34E9A">
        <w:rPr>
          <w:rFonts w:ascii="Times New Roman" w:hAnsi="Times New Roman" w:cs="Times New Roman"/>
        </w:rPr>
        <w:t xml:space="preserve">екотата на организиране на международни </w:t>
      </w:r>
      <w:r>
        <w:rPr>
          <w:rFonts w:ascii="Times New Roman" w:hAnsi="Times New Roman" w:cs="Times New Roman"/>
        </w:rPr>
        <w:t>доставки при</w:t>
      </w:r>
      <w:r w:rsidRPr="00E34E9A">
        <w:rPr>
          <w:rFonts w:ascii="Times New Roman" w:hAnsi="Times New Roman" w:cs="Times New Roman"/>
        </w:rPr>
        <w:t xml:space="preserve"> конкурентни цени</w:t>
      </w:r>
      <w:r>
        <w:rPr>
          <w:rFonts w:ascii="Times New Roman" w:hAnsi="Times New Roman" w:cs="Times New Roman"/>
        </w:rPr>
        <w:t xml:space="preserve">, като страната заема 41-во място в света по този </w:t>
      </w:r>
      <w:proofErr w:type="spellStart"/>
      <w:r>
        <w:rPr>
          <w:rFonts w:ascii="Times New Roman" w:hAnsi="Times New Roman" w:cs="Times New Roman"/>
        </w:rPr>
        <w:t>подиндикатор</w:t>
      </w:r>
      <w:proofErr w:type="spellEnd"/>
      <w:r>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В периода 2008-2017 г. общият товарооборот на </w:t>
      </w:r>
      <w:r w:rsidRPr="00B66FE9">
        <w:rPr>
          <w:rFonts w:ascii="Times New Roman" w:eastAsia="Calibri" w:hAnsi="Times New Roman" w:cs="Times New Roman"/>
          <w:b/>
          <w:color w:val="365F91"/>
          <w:lang w:eastAsia="en-US"/>
        </w:rPr>
        <w:t>речните и морски пристанища</w:t>
      </w:r>
      <w:r>
        <w:rPr>
          <w:rFonts w:ascii="Times New Roman" w:hAnsi="Times New Roman" w:cs="Times New Roman"/>
        </w:rPr>
        <w:t xml:space="preserve"> в страната нараства с 5.3% до 34.7 </w:t>
      </w:r>
      <w:proofErr w:type="spellStart"/>
      <w:r>
        <w:rPr>
          <w:rFonts w:ascii="Times New Roman" w:hAnsi="Times New Roman" w:cs="Times New Roman"/>
        </w:rPr>
        <w:t>млн.т</w:t>
      </w:r>
      <w:proofErr w:type="spellEnd"/>
      <w:r>
        <w:rPr>
          <w:rFonts w:ascii="Times New Roman" w:hAnsi="Times New Roman" w:cs="Times New Roman"/>
        </w:rPr>
        <w:t xml:space="preserve">., но като цяло възможностите за </w:t>
      </w:r>
      <w:r w:rsidRPr="004F6D91">
        <w:rPr>
          <w:rFonts w:ascii="Times New Roman" w:hAnsi="Times New Roman" w:cs="Times New Roman"/>
        </w:rPr>
        <w:t>преодоляване на нарастващата претовареност на пътната и ж</w:t>
      </w:r>
      <w:r>
        <w:rPr>
          <w:rFonts w:ascii="Times New Roman" w:hAnsi="Times New Roman" w:cs="Times New Roman"/>
        </w:rPr>
        <w:t>елезопътната</w:t>
      </w:r>
      <w:r w:rsidRPr="004F6D91">
        <w:rPr>
          <w:rFonts w:ascii="Times New Roman" w:hAnsi="Times New Roman" w:cs="Times New Roman"/>
        </w:rPr>
        <w:t xml:space="preserve"> инфраструктура и за ограничаване на замърсяването на въздуха</w:t>
      </w:r>
      <w:r>
        <w:rPr>
          <w:rFonts w:ascii="Times New Roman" w:hAnsi="Times New Roman" w:cs="Times New Roman"/>
        </w:rPr>
        <w:t xml:space="preserve"> посредством морския и особено </w:t>
      </w:r>
      <w:proofErr w:type="spellStart"/>
      <w:r>
        <w:rPr>
          <w:rFonts w:ascii="Times New Roman" w:hAnsi="Times New Roman" w:cs="Times New Roman"/>
        </w:rPr>
        <w:t>вътрешноводния</w:t>
      </w:r>
      <w:proofErr w:type="spellEnd"/>
      <w:r>
        <w:rPr>
          <w:rFonts w:ascii="Times New Roman" w:hAnsi="Times New Roman" w:cs="Times New Roman"/>
        </w:rPr>
        <w:t xml:space="preserve"> транспорт остават неоползотворени. </w:t>
      </w:r>
      <w:r w:rsidRPr="0096511D">
        <w:rPr>
          <w:rFonts w:ascii="Times New Roman" w:hAnsi="Times New Roman" w:cs="Times New Roman"/>
        </w:rPr>
        <w:t>Националната пристанищна система разполага с доста наситена мрежа от пристанищ</w:t>
      </w:r>
      <w:r>
        <w:rPr>
          <w:rFonts w:ascii="Times New Roman" w:hAnsi="Times New Roman" w:cs="Times New Roman"/>
        </w:rPr>
        <w:t>ни терминали, чиито общ претоварен капацитет се оценява на повече от 85</w:t>
      </w:r>
      <w:r>
        <w:rPr>
          <w:rStyle w:val="FootnoteReference"/>
          <w:rFonts w:ascii="Times New Roman" w:hAnsi="Times New Roman" w:cs="Times New Roman"/>
        </w:rPr>
        <w:footnoteReference w:id="124"/>
      </w:r>
      <w:r>
        <w:rPr>
          <w:rFonts w:ascii="Times New Roman" w:hAnsi="Times New Roman" w:cs="Times New Roman"/>
        </w:rPr>
        <w:t xml:space="preserve"> </w:t>
      </w:r>
      <w:proofErr w:type="spellStart"/>
      <w:r>
        <w:rPr>
          <w:rFonts w:ascii="Times New Roman" w:hAnsi="Times New Roman" w:cs="Times New Roman"/>
        </w:rPr>
        <w:t>млн.т</w:t>
      </w:r>
      <w:proofErr w:type="spellEnd"/>
      <w:r>
        <w:rPr>
          <w:rFonts w:ascii="Times New Roman" w:hAnsi="Times New Roman" w:cs="Times New Roman"/>
        </w:rPr>
        <w:t xml:space="preserve">. годишно, което означава, че степента на използване на наличната инфраструктура достига едва около 40%. </w:t>
      </w:r>
      <w:r w:rsidRPr="00EF2744">
        <w:rPr>
          <w:rFonts w:ascii="Times New Roman" w:hAnsi="Times New Roman" w:cs="Times New Roman"/>
        </w:rPr>
        <w:t>Въпреки</w:t>
      </w:r>
      <w:r>
        <w:rPr>
          <w:rFonts w:ascii="Times New Roman" w:hAnsi="Times New Roman" w:cs="Times New Roman"/>
        </w:rPr>
        <w:t xml:space="preserve"> </w:t>
      </w:r>
      <w:r w:rsidRPr="00EF2744">
        <w:rPr>
          <w:rFonts w:ascii="Times New Roman" w:hAnsi="Times New Roman" w:cs="Times New Roman"/>
        </w:rPr>
        <w:t>някои инвестиции през последните години, включително и със средства от ЕС</w:t>
      </w:r>
      <w:r>
        <w:rPr>
          <w:rFonts w:ascii="Times New Roman" w:hAnsi="Times New Roman" w:cs="Times New Roman"/>
        </w:rPr>
        <w:t xml:space="preserve">, основни проблеми пред по-пълното валоризиране на системата остават влошеното техническо състояние на </w:t>
      </w:r>
      <w:r w:rsidRPr="00614F8B">
        <w:rPr>
          <w:rFonts w:ascii="Times New Roman" w:hAnsi="Times New Roman" w:cs="Times New Roman"/>
        </w:rPr>
        <w:t>пристанищни</w:t>
      </w:r>
      <w:r>
        <w:rPr>
          <w:rFonts w:ascii="Times New Roman" w:hAnsi="Times New Roman" w:cs="Times New Roman"/>
        </w:rPr>
        <w:t>те</w:t>
      </w:r>
      <w:r w:rsidRPr="00614F8B">
        <w:rPr>
          <w:rFonts w:ascii="Times New Roman" w:hAnsi="Times New Roman" w:cs="Times New Roman"/>
        </w:rPr>
        <w:t xml:space="preserve"> терминали</w:t>
      </w:r>
      <w:r>
        <w:rPr>
          <w:rFonts w:ascii="Times New Roman" w:hAnsi="Times New Roman" w:cs="Times New Roman"/>
        </w:rPr>
        <w:t>,</w:t>
      </w:r>
      <w:r w:rsidRPr="00614F8B">
        <w:t xml:space="preserve"> </w:t>
      </w:r>
      <w:r w:rsidRPr="00614F8B">
        <w:rPr>
          <w:rFonts w:ascii="Times New Roman" w:hAnsi="Times New Roman" w:cs="Times New Roman"/>
        </w:rPr>
        <w:t>остарели</w:t>
      </w:r>
      <w:r>
        <w:rPr>
          <w:rFonts w:ascii="Times New Roman" w:hAnsi="Times New Roman" w:cs="Times New Roman"/>
        </w:rPr>
        <w:t>те</w:t>
      </w:r>
      <w:r w:rsidRPr="00614F8B">
        <w:rPr>
          <w:rFonts w:ascii="Times New Roman" w:hAnsi="Times New Roman" w:cs="Times New Roman"/>
        </w:rPr>
        <w:t xml:space="preserve"> основни механични съоръжения и съоръжения за трансбордиране, </w:t>
      </w:r>
      <w:r>
        <w:rPr>
          <w:rFonts w:ascii="Times New Roman" w:hAnsi="Times New Roman" w:cs="Times New Roman"/>
        </w:rPr>
        <w:t>както и</w:t>
      </w:r>
      <w:r w:rsidRPr="00614F8B">
        <w:rPr>
          <w:rFonts w:ascii="Times New Roman" w:hAnsi="Times New Roman" w:cs="Times New Roman"/>
        </w:rPr>
        <w:t xml:space="preserve"> лошо</w:t>
      </w:r>
      <w:r>
        <w:rPr>
          <w:rFonts w:ascii="Times New Roman" w:hAnsi="Times New Roman" w:cs="Times New Roman"/>
        </w:rPr>
        <w:t>то</w:t>
      </w:r>
      <w:r w:rsidRPr="00614F8B">
        <w:rPr>
          <w:rFonts w:ascii="Times New Roman" w:hAnsi="Times New Roman" w:cs="Times New Roman"/>
        </w:rPr>
        <w:t xml:space="preserve"> състояние на</w:t>
      </w:r>
      <w:r>
        <w:rPr>
          <w:rFonts w:ascii="Times New Roman" w:hAnsi="Times New Roman" w:cs="Times New Roman"/>
        </w:rPr>
        <w:t xml:space="preserve">  </w:t>
      </w:r>
      <w:r w:rsidRPr="00614F8B">
        <w:rPr>
          <w:rFonts w:ascii="Times New Roman" w:hAnsi="Times New Roman" w:cs="Times New Roman"/>
        </w:rPr>
        <w:t>транспортните инфраструктурни връзки, свързващи пристанищните терминали с републиканската пътна и железопътна система</w:t>
      </w:r>
      <w:r>
        <w:rPr>
          <w:rFonts w:ascii="Times New Roman" w:hAnsi="Times New Roman" w:cs="Times New Roman"/>
        </w:rPr>
        <w:t xml:space="preserve"> (</w:t>
      </w:r>
      <w:r w:rsidRPr="00B970F0">
        <w:rPr>
          <w:rFonts w:ascii="Times New Roman" w:hAnsi="Times New Roman" w:cs="Times New Roman"/>
        </w:rPr>
        <w:t>някои от пристанищните терминали и пристанища с регионално значение</w:t>
      </w:r>
      <w:r>
        <w:rPr>
          <w:rFonts w:ascii="Times New Roman" w:hAnsi="Times New Roman" w:cs="Times New Roman"/>
        </w:rPr>
        <w:t xml:space="preserve"> изобщо </w:t>
      </w:r>
      <w:r w:rsidRPr="00B970F0">
        <w:rPr>
          <w:rFonts w:ascii="Times New Roman" w:hAnsi="Times New Roman" w:cs="Times New Roman"/>
        </w:rPr>
        <w:t>нямат достъп до железопътната мрежа</w:t>
      </w:r>
      <w:r>
        <w:rPr>
          <w:rFonts w:ascii="Times New Roman" w:hAnsi="Times New Roman" w:cs="Times New Roman"/>
        </w:rPr>
        <w:t xml:space="preserve">). През 2017 г., по данни на </w:t>
      </w:r>
      <w:r w:rsidRPr="00301C1E">
        <w:rPr>
          <w:rFonts w:ascii="Times New Roman" w:hAnsi="Times New Roman" w:cs="Times New Roman"/>
          <w:i/>
          <w:lang w:val="en-GB"/>
        </w:rPr>
        <w:t>EU Transport Scoreboard</w:t>
      </w:r>
      <w:r>
        <w:rPr>
          <w:rFonts w:ascii="Times New Roman" w:hAnsi="Times New Roman" w:cs="Times New Roman"/>
        </w:rPr>
        <w:t>,</w:t>
      </w:r>
      <w:r w:rsidRPr="00301C1E">
        <w:rPr>
          <w:rFonts w:ascii="Times New Roman" w:hAnsi="Times New Roman" w:cs="Times New Roman"/>
        </w:rPr>
        <w:t xml:space="preserve"> </w:t>
      </w:r>
      <w:r>
        <w:rPr>
          <w:rFonts w:ascii="Times New Roman" w:hAnsi="Times New Roman" w:cs="Times New Roman"/>
        </w:rPr>
        <w:t>ниското качество на пристанищната инфраструктура определя на страната предпоследно място сред държавите – членки на ЕС, които развиват воден транспорт, изпреварвайки единствено Румъния. При това неглижирането на проблемите в това отношение довежда до отстъпление с една позиция през последните години, като страната е изпреварена от Полша.</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Развитието на </w:t>
      </w:r>
      <w:proofErr w:type="spellStart"/>
      <w:r>
        <w:rPr>
          <w:rFonts w:ascii="Times New Roman" w:hAnsi="Times New Roman" w:cs="Times New Roman"/>
        </w:rPr>
        <w:t>вътрешноводния</w:t>
      </w:r>
      <w:proofErr w:type="spellEnd"/>
      <w:r>
        <w:rPr>
          <w:rFonts w:ascii="Times New Roman" w:hAnsi="Times New Roman" w:cs="Times New Roman"/>
        </w:rPr>
        <w:t xml:space="preserve"> транспорт, чийто дял във водния товарен транспорт намалява почти двойно за последните десет години до едва 10.7% през 2017 г.,  е допълнително възпрепятствано от съществуващите навигационни проблеми </w:t>
      </w:r>
      <w:r w:rsidRPr="00EF2744">
        <w:rPr>
          <w:rFonts w:ascii="Times New Roman" w:hAnsi="Times New Roman" w:cs="Times New Roman"/>
        </w:rPr>
        <w:t xml:space="preserve">в българския участък </w:t>
      </w:r>
      <w:r>
        <w:rPr>
          <w:rFonts w:ascii="Times New Roman" w:hAnsi="Times New Roman" w:cs="Times New Roman"/>
        </w:rPr>
        <w:t xml:space="preserve">на река Дунав. Реката, която е </w:t>
      </w:r>
      <w:r w:rsidRPr="00EF2744">
        <w:rPr>
          <w:rFonts w:ascii="Times New Roman" w:hAnsi="Times New Roman" w:cs="Times New Roman"/>
        </w:rPr>
        <w:t>единственият вътрешен воден път в България</w:t>
      </w:r>
      <w:r>
        <w:rPr>
          <w:rFonts w:ascii="Times New Roman" w:hAnsi="Times New Roman" w:cs="Times New Roman"/>
        </w:rPr>
        <w:t xml:space="preserve">, е част от </w:t>
      </w:r>
      <w:r w:rsidRPr="00EF2744">
        <w:rPr>
          <w:rFonts w:ascii="Times New Roman" w:hAnsi="Times New Roman" w:cs="Times New Roman"/>
        </w:rPr>
        <w:t>„</w:t>
      </w:r>
      <w:r w:rsidRPr="00EF2744">
        <w:rPr>
          <w:rFonts w:ascii="Times New Roman" w:hAnsi="Times New Roman" w:cs="Times New Roman"/>
          <w:i/>
        </w:rPr>
        <w:t>основната</w:t>
      </w:r>
      <w:r w:rsidRPr="00EF2744">
        <w:rPr>
          <w:rFonts w:ascii="Times New Roman" w:hAnsi="Times New Roman" w:cs="Times New Roman"/>
        </w:rPr>
        <w:t>” ТEN-T мрежа</w:t>
      </w:r>
      <w:r>
        <w:rPr>
          <w:rFonts w:ascii="Times New Roman" w:hAnsi="Times New Roman" w:cs="Times New Roman"/>
        </w:rPr>
        <w:t>, но</w:t>
      </w:r>
      <w:r w:rsidRPr="00B92C21">
        <w:t xml:space="preserve"> </w:t>
      </w:r>
      <w:r w:rsidRPr="00B92C21">
        <w:rPr>
          <w:rFonts w:ascii="Times New Roman" w:hAnsi="Times New Roman" w:cs="Times New Roman"/>
        </w:rPr>
        <w:t>не съответства на международно приетите навигационни стандарти, тъй като има многобройни стеснени участъци</w:t>
      </w:r>
      <w:r>
        <w:rPr>
          <w:rFonts w:ascii="Times New Roman" w:hAnsi="Times New Roman" w:cs="Times New Roman"/>
        </w:rPr>
        <w:t xml:space="preserve">, което води до </w:t>
      </w:r>
      <w:r w:rsidRPr="00B92C21">
        <w:rPr>
          <w:rFonts w:ascii="Times New Roman" w:hAnsi="Times New Roman" w:cs="Times New Roman"/>
        </w:rPr>
        <w:t xml:space="preserve">ограничаване </w:t>
      </w:r>
      <w:r>
        <w:rPr>
          <w:rFonts w:ascii="Times New Roman" w:hAnsi="Times New Roman" w:cs="Times New Roman"/>
        </w:rPr>
        <w:t xml:space="preserve">на </w:t>
      </w:r>
      <w:r w:rsidRPr="00B92C21">
        <w:rPr>
          <w:rFonts w:ascii="Times New Roman" w:hAnsi="Times New Roman" w:cs="Times New Roman"/>
        </w:rPr>
        <w:t xml:space="preserve">превозната </w:t>
      </w:r>
      <w:proofErr w:type="spellStart"/>
      <w:r w:rsidRPr="00B92C21">
        <w:rPr>
          <w:rFonts w:ascii="Times New Roman" w:hAnsi="Times New Roman" w:cs="Times New Roman"/>
        </w:rPr>
        <w:t>товароносимост</w:t>
      </w:r>
      <w:proofErr w:type="spellEnd"/>
      <w:r w:rsidRPr="00B92C21">
        <w:rPr>
          <w:rFonts w:ascii="Times New Roman" w:hAnsi="Times New Roman" w:cs="Times New Roman"/>
        </w:rPr>
        <w:t xml:space="preserve"> на речния флот и </w:t>
      </w:r>
      <w:r>
        <w:rPr>
          <w:rFonts w:ascii="Times New Roman" w:hAnsi="Times New Roman" w:cs="Times New Roman"/>
        </w:rPr>
        <w:t xml:space="preserve">рефлектира в </w:t>
      </w:r>
      <w:r w:rsidRPr="00B92C21">
        <w:rPr>
          <w:rFonts w:ascii="Times New Roman" w:hAnsi="Times New Roman" w:cs="Times New Roman"/>
        </w:rPr>
        <w:t>загуба на атрактивност на реката като ключов транспортен коридор</w:t>
      </w:r>
      <w:r>
        <w:rPr>
          <w:rFonts w:ascii="Times New Roman" w:hAnsi="Times New Roman" w:cs="Times New Roman"/>
        </w:rPr>
        <w:t>.</w:t>
      </w:r>
    </w:p>
    <w:p w:rsidR="00AE0F90" w:rsidRPr="00252EA8" w:rsidRDefault="00AE0F90" w:rsidP="00AE0F90">
      <w:pPr>
        <w:pStyle w:val="Heading2"/>
        <w:numPr>
          <w:ilvl w:val="1"/>
          <w:numId w:val="16"/>
        </w:numPr>
        <w:rPr>
          <w:color w:val="1F497D"/>
        </w:rPr>
      </w:pPr>
      <w:bookmarkStart w:id="35" w:name="_Toc791820"/>
      <w:r w:rsidRPr="00252EA8">
        <w:rPr>
          <w:color w:val="1F497D"/>
        </w:rPr>
        <w:t>Околна среда</w:t>
      </w:r>
      <w:bookmarkEnd w:id="35"/>
    </w:p>
    <w:p w:rsidR="00AE0F90" w:rsidRPr="002D0BEA" w:rsidRDefault="00AE0F90" w:rsidP="00AE0F90">
      <w:pPr>
        <w:pStyle w:val="ListParagraph"/>
        <w:spacing w:line="269" w:lineRule="auto"/>
        <w:ind w:left="0" w:firstLine="0"/>
        <w:contextualSpacing w:val="0"/>
        <w:jc w:val="both"/>
        <w:rPr>
          <w:rFonts w:ascii="Times New Roman" w:hAnsi="Times New Roman" w:cs="Times New Roman"/>
          <w:i/>
        </w:rPr>
      </w:pPr>
      <w:r w:rsidRPr="001C720A">
        <w:rPr>
          <w:rFonts w:ascii="Times New Roman" w:hAnsi="Times New Roman" w:cs="Times New Roman"/>
          <w:i/>
        </w:rPr>
        <w:t xml:space="preserve">След присъединяването си към ЕС България </w:t>
      </w:r>
      <w:r>
        <w:rPr>
          <w:rFonts w:ascii="Times New Roman" w:hAnsi="Times New Roman" w:cs="Times New Roman"/>
          <w:i/>
        </w:rPr>
        <w:t xml:space="preserve">увеличава </w:t>
      </w:r>
      <w:r w:rsidRPr="00B11448">
        <w:rPr>
          <w:rFonts w:ascii="Times New Roman" w:hAnsi="Times New Roman" w:cs="Times New Roman"/>
          <w:i/>
        </w:rPr>
        <w:t xml:space="preserve">разходите </w:t>
      </w:r>
      <w:r>
        <w:rPr>
          <w:rFonts w:ascii="Times New Roman" w:hAnsi="Times New Roman" w:cs="Times New Roman"/>
          <w:i/>
        </w:rPr>
        <w:t xml:space="preserve">си </w:t>
      </w:r>
      <w:r w:rsidRPr="00B11448">
        <w:rPr>
          <w:rFonts w:ascii="Times New Roman" w:hAnsi="Times New Roman" w:cs="Times New Roman"/>
          <w:i/>
        </w:rPr>
        <w:t xml:space="preserve">за опазване и възстановяване на околната среда </w:t>
      </w:r>
      <w:r>
        <w:rPr>
          <w:rFonts w:ascii="Times New Roman" w:hAnsi="Times New Roman" w:cs="Times New Roman"/>
          <w:i/>
        </w:rPr>
        <w:t xml:space="preserve">и </w:t>
      </w:r>
      <w:r w:rsidRPr="001C720A">
        <w:rPr>
          <w:rFonts w:ascii="Times New Roman" w:hAnsi="Times New Roman" w:cs="Times New Roman"/>
          <w:i/>
        </w:rPr>
        <w:t>постига подобрени</w:t>
      </w:r>
      <w:r>
        <w:rPr>
          <w:rFonts w:ascii="Times New Roman" w:hAnsi="Times New Roman" w:cs="Times New Roman"/>
          <w:i/>
        </w:rPr>
        <w:t>е</w:t>
      </w:r>
      <w:r w:rsidRPr="001C720A">
        <w:rPr>
          <w:rFonts w:ascii="Times New Roman" w:hAnsi="Times New Roman" w:cs="Times New Roman"/>
          <w:i/>
        </w:rPr>
        <w:t xml:space="preserve"> в своите екологични показатели, но остават някои значими предизвикателства.</w:t>
      </w:r>
      <w:r>
        <w:rPr>
          <w:rFonts w:ascii="Times New Roman" w:hAnsi="Times New Roman" w:cs="Times New Roman"/>
          <w:i/>
        </w:rPr>
        <w:t xml:space="preserve"> </w:t>
      </w:r>
      <w:r w:rsidRPr="00F758D6">
        <w:rPr>
          <w:rFonts w:ascii="Times New Roman" w:hAnsi="Times New Roman" w:cs="Times New Roman"/>
          <w:i/>
        </w:rPr>
        <w:t>Системите за централно водоснабдяване покриват 99.3% от населението</w:t>
      </w:r>
      <w:r>
        <w:rPr>
          <w:rFonts w:ascii="Times New Roman" w:hAnsi="Times New Roman" w:cs="Times New Roman"/>
          <w:i/>
        </w:rPr>
        <w:t xml:space="preserve"> при високо качество на питейната вода, но загубите на вода от водопроводната мрежа остават високи </w:t>
      </w:r>
      <w:r>
        <w:rPr>
          <w:rFonts w:ascii="Times New Roman" w:hAnsi="Times New Roman" w:cs="Times New Roman"/>
          <w:i/>
        </w:rPr>
        <w:lastRenderedPageBreak/>
        <w:t xml:space="preserve">предвид силната й </w:t>
      </w:r>
      <w:proofErr w:type="spellStart"/>
      <w:r>
        <w:rPr>
          <w:rFonts w:ascii="Times New Roman" w:hAnsi="Times New Roman" w:cs="Times New Roman"/>
          <w:i/>
        </w:rPr>
        <w:t>амортизираност</w:t>
      </w:r>
      <w:proofErr w:type="spellEnd"/>
      <w:r>
        <w:rPr>
          <w:rFonts w:ascii="Times New Roman" w:hAnsi="Times New Roman" w:cs="Times New Roman"/>
          <w:i/>
        </w:rPr>
        <w:t xml:space="preserve">. Нараства свързаността на населението с </w:t>
      </w:r>
      <w:r w:rsidRPr="008D7F63">
        <w:rPr>
          <w:rFonts w:ascii="Times New Roman" w:hAnsi="Times New Roman" w:cs="Times New Roman"/>
          <w:i/>
        </w:rPr>
        <w:t>обществена канализация</w:t>
      </w:r>
      <w:r>
        <w:rPr>
          <w:rFonts w:ascii="Times New Roman" w:hAnsi="Times New Roman" w:cs="Times New Roman"/>
          <w:i/>
        </w:rPr>
        <w:t xml:space="preserve"> и</w:t>
      </w:r>
      <w:r w:rsidRPr="008D7F63">
        <w:t xml:space="preserve"> </w:t>
      </w:r>
      <w:r w:rsidRPr="008D7F63">
        <w:rPr>
          <w:rFonts w:ascii="Times New Roman" w:hAnsi="Times New Roman" w:cs="Times New Roman"/>
          <w:i/>
        </w:rPr>
        <w:t>пречиствателни станции за отпадъчни води</w:t>
      </w:r>
      <w:r>
        <w:rPr>
          <w:rFonts w:ascii="Times New Roman" w:hAnsi="Times New Roman" w:cs="Times New Roman"/>
          <w:i/>
        </w:rPr>
        <w:t>,</w:t>
      </w:r>
      <w:r w:rsidRPr="008D7F63">
        <w:rPr>
          <w:rFonts w:ascii="Times New Roman" w:hAnsi="Times New Roman" w:cs="Times New Roman"/>
          <w:i/>
        </w:rPr>
        <w:t xml:space="preserve"> при </w:t>
      </w:r>
      <w:r>
        <w:rPr>
          <w:rFonts w:ascii="Times New Roman" w:hAnsi="Times New Roman" w:cs="Times New Roman"/>
          <w:i/>
        </w:rPr>
        <w:t xml:space="preserve">подобряване на </w:t>
      </w:r>
      <w:r w:rsidRPr="008D7F63">
        <w:rPr>
          <w:rFonts w:ascii="Times New Roman" w:hAnsi="Times New Roman" w:cs="Times New Roman"/>
          <w:i/>
        </w:rPr>
        <w:t>технологиите на пречистване</w:t>
      </w:r>
      <w:r>
        <w:rPr>
          <w:rFonts w:ascii="Times New Roman" w:hAnsi="Times New Roman" w:cs="Times New Roman"/>
          <w:i/>
        </w:rPr>
        <w:t xml:space="preserve">, но </w:t>
      </w:r>
      <w:r w:rsidRPr="008D7F63">
        <w:rPr>
          <w:rFonts w:ascii="Times New Roman" w:hAnsi="Times New Roman" w:cs="Times New Roman"/>
          <w:i/>
        </w:rPr>
        <w:t>нуждите за инфраструктурни инвестиции в отрасъла остават високи, предвид ангажиментите на страната за постигане на съответствие с европейските директиви</w:t>
      </w:r>
      <w:r>
        <w:rPr>
          <w:rFonts w:ascii="Times New Roman" w:hAnsi="Times New Roman" w:cs="Times New Roman"/>
          <w:i/>
        </w:rPr>
        <w:t>.</w:t>
      </w:r>
      <w:r w:rsidRPr="008D7F63">
        <w:rPr>
          <w:rFonts w:ascii="Times New Roman" w:hAnsi="Times New Roman" w:cs="Times New Roman"/>
          <w:i/>
        </w:rPr>
        <w:t xml:space="preserve"> Въпреки постигнато</w:t>
      </w:r>
      <w:r>
        <w:rPr>
          <w:rFonts w:ascii="Times New Roman" w:hAnsi="Times New Roman" w:cs="Times New Roman"/>
          <w:i/>
        </w:rPr>
        <w:t>то</w:t>
      </w:r>
      <w:r w:rsidRPr="008D7F63">
        <w:rPr>
          <w:rFonts w:ascii="Times New Roman" w:hAnsi="Times New Roman" w:cs="Times New Roman"/>
          <w:i/>
        </w:rPr>
        <w:t xml:space="preserve"> значително намаление в емисиите на серни и азотни оксиди, летливи органични съединения и амоняк</w:t>
      </w:r>
      <w:r>
        <w:rPr>
          <w:rFonts w:ascii="Times New Roman" w:hAnsi="Times New Roman" w:cs="Times New Roman"/>
          <w:i/>
        </w:rPr>
        <w:t xml:space="preserve">, </w:t>
      </w:r>
      <w:r w:rsidRPr="008D7F63">
        <w:rPr>
          <w:rFonts w:ascii="Times New Roman" w:hAnsi="Times New Roman" w:cs="Times New Roman"/>
          <w:i/>
        </w:rPr>
        <w:t>качеството на атмосферния въздух продължава да буди сериозна загриженост</w:t>
      </w:r>
      <w:r>
        <w:rPr>
          <w:rFonts w:ascii="Times New Roman" w:hAnsi="Times New Roman" w:cs="Times New Roman"/>
          <w:i/>
        </w:rPr>
        <w:t xml:space="preserve">, поради интензифициране на проблема с концентрацията на фини </w:t>
      </w:r>
      <w:proofErr w:type="spellStart"/>
      <w:r>
        <w:rPr>
          <w:rFonts w:ascii="Times New Roman" w:hAnsi="Times New Roman" w:cs="Times New Roman"/>
          <w:i/>
        </w:rPr>
        <w:t>прахови</w:t>
      </w:r>
      <w:proofErr w:type="spellEnd"/>
      <w:r>
        <w:rPr>
          <w:rFonts w:ascii="Times New Roman" w:hAnsi="Times New Roman" w:cs="Times New Roman"/>
          <w:i/>
        </w:rPr>
        <w:t xml:space="preserve"> частици.</w:t>
      </w:r>
      <w:r w:rsidRPr="00742D2C">
        <w:t xml:space="preserve"> </w:t>
      </w:r>
      <w:r w:rsidRPr="00742D2C">
        <w:rPr>
          <w:rFonts w:ascii="Times New Roman" w:hAnsi="Times New Roman" w:cs="Times New Roman"/>
          <w:i/>
        </w:rPr>
        <w:t>Генерираните битови отпадъци следват тенденция на трайно намаление</w:t>
      </w:r>
      <w:r>
        <w:rPr>
          <w:rFonts w:ascii="Times New Roman" w:hAnsi="Times New Roman" w:cs="Times New Roman"/>
          <w:i/>
        </w:rPr>
        <w:t>, при нарастване на дела на третираните отпадъци и увеличаване</w:t>
      </w:r>
      <w:r w:rsidRPr="00742D2C">
        <w:rPr>
          <w:rFonts w:ascii="Times New Roman" w:hAnsi="Times New Roman" w:cs="Times New Roman"/>
          <w:i/>
        </w:rPr>
        <w:t xml:space="preserve"> на </w:t>
      </w:r>
      <w:r>
        <w:rPr>
          <w:rFonts w:ascii="Times New Roman" w:hAnsi="Times New Roman" w:cs="Times New Roman"/>
          <w:i/>
        </w:rPr>
        <w:t xml:space="preserve">покритието на </w:t>
      </w:r>
      <w:r w:rsidRPr="00742D2C">
        <w:rPr>
          <w:rFonts w:ascii="Times New Roman" w:hAnsi="Times New Roman" w:cs="Times New Roman"/>
          <w:i/>
        </w:rPr>
        <w:t>население</w:t>
      </w:r>
      <w:r>
        <w:rPr>
          <w:rFonts w:ascii="Times New Roman" w:hAnsi="Times New Roman" w:cs="Times New Roman"/>
          <w:i/>
        </w:rPr>
        <w:t>то със</w:t>
      </w:r>
      <w:r w:rsidRPr="00742D2C">
        <w:rPr>
          <w:rFonts w:ascii="Times New Roman" w:hAnsi="Times New Roman" w:cs="Times New Roman"/>
          <w:i/>
        </w:rPr>
        <w:t xml:space="preserve"> системи за организирано сметосъбиране</w:t>
      </w:r>
      <w:r>
        <w:rPr>
          <w:rFonts w:ascii="Times New Roman" w:hAnsi="Times New Roman" w:cs="Times New Roman"/>
          <w:i/>
        </w:rPr>
        <w:t>, но п</w:t>
      </w:r>
      <w:r w:rsidRPr="00742D2C">
        <w:rPr>
          <w:rFonts w:ascii="Times New Roman" w:hAnsi="Times New Roman" w:cs="Times New Roman"/>
          <w:i/>
        </w:rPr>
        <w:t>редизвикателство остава намаляването на дела на депонираните отпадъци</w:t>
      </w:r>
      <w:r>
        <w:rPr>
          <w:rFonts w:ascii="Times New Roman" w:hAnsi="Times New Roman" w:cs="Times New Roman"/>
          <w:i/>
        </w:rPr>
        <w:t>, както и въвеждането на принципа „замърсителя плаща“. Основно предизвикателство остава и о</w:t>
      </w:r>
      <w:r w:rsidRPr="00742D2C">
        <w:rPr>
          <w:rFonts w:ascii="Times New Roman" w:hAnsi="Times New Roman" w:cs="Times New Roman"/>
          <w:i/>
        </w:rPr>
        <w:t>сигуряване</w:t>
      </w:r>
      <w:r>
        <w:rPr>
          <w:rFonts w:ascii="Times New Roman" w:hAnsi="Times New Roman" w:cs="Times New Roman"/>
          <w:i/>
        </w:rPr>
        <w:t>то</w:t>
      </w:r>
      <w:r w:rsidRPr="00742D2C">
        <w:rPr>
          <w:rFonts w:ascii="Times New Roman" w:hAnsi="Times New Roman" w:cs="Times New Roman"/>
          <w:i/>
        </w:rPr>
        <w:t xml:space="preserve"> на надеждно прилагане на законодателството за опазване на природата</w:t>
      </w:r>
      <w:r>
        <w:rPr>
          <w:rFonts w:ascii="Times New Roman" w:hAnsi="Times New Roman" w:cs="Times New Roman"/>
          <w:i/>
        </w:rPr>
        <w:t xml:space="preserve">. </w:t>
      </w:r>
      <w:r w:rsidRPr="002D0BEA">
        <w:rPr>
          <w:rFonts w:ascii="Times New Roman" w:hAnsi="Times New Roman" w:cs="Times New Roman"/>
          <w:i/>
        </w:rPr>
        <w:t>България изостава значително в процеса по трансформиране на икономиката си от линейна към кръгова, в условия на отсъствие на всеобхватен стратегически документ, който да постави основите на такава трансформация.</w:t>
      </w:r>
      <w:r>
        <w:rPr>
          <w:rFonts w:ascii="Times New Roman" w:hAnsi="Times New Roman" w:cs="Times New Roman"/>
          <w:i/>
        </w:rPr>
        <w:t xml:space="preserve"> </w:t>
      </w:r>
      <w:r w:rsidRPr="00C671D7">
        <w:rPr>
          <w:rFonts w:ascii="Times New Roman" w:hAnsi="Times New Roman" w:cs="Times New Roman"/>
          <w:i/>
        </w:rPr>
        <w:t>Усилията за изграждане на цялостна и разгърната система за управление на рисковете от бедствия все още не дават задоволителни резултати</w:t>
      </w:r>
      <w:r>
        <w:rPr>
          <w:rFonts w:ascii="Times New Roman" w:hAnsi="Times New Roman" w:cs="Times New Roman"/>
          <w:i/>
        </w:rPr>
        <w:t>, не на последно място и поради бюджетни ограничения.</w:t>
      </w:r>
    </w:p>
    <w:p w:rsidR="00AE0F90" w:rsidRPr="0081383A" w:rsidRDefault="00AE0F90" w:rsidP="00AE0F90">
      <w:pPr>
        <w:pStyle w:val="ListParagraph"/>
        <w:spacing w:line="269" w:lineRule="auto"/>
        <w:ind w:left="0" w:firstLine="0"/>
        <w:contextualSpacing w:val="0"/>
        <w:jc w:val="both"/>
        <w:rPr>
          <w:rFonts w:ascii="Times New Roman" w:hAnsi="Times New Roman" w:cs="Times New Roman"/>
          <w:lang w:val="en-GB"/>
        </w:rPr>
      </w:pPr>
      <w:r w:rsidRPr="00B11448">
        <w:rPr>
          <w:rFonts w:ascii="Times New Roman" w:hAnsi="Times New Roman" w:cs="Times New Roman"/>
        </w:rPr>
        <w:t xml:space="preserve">През последните години </w:t>
      </w:r>
      <w:r w:rsidRPr="00B11448">
        <w:rPr>
          <w:rFonts w:ascii="Times New Roman" w:eastAsia="Calibri" w:hAnsi="Times New Roman" w:cs="Times New Roman"/>
          <w:b/>
          <w:color w:val="365F91"/>
          <w:lang w:eastAsia="en-US"/>
        </w:rPr>
        <w:t>разходите за опазване и възстановяване на околната среда</w:t>
      </w:r>
      <w:r w:rsidRPr="00B11448">
        <w:rPr>
          <w:rFonts w:ascii="Times New Roman" w:hAnsi="Times New Roman" w:cs="Times New Roman"/>
        </w:rPr>
        <w:t xml:space="preserve"> нарастват чувствително, във връзка с изразходвания ресурс по линия на оперативните програми, съфинансирани със средства от ЕС, като за периода 2010-2016 г. възлизат на средно 2.6% от БВП, при достигнат максимум от 3.7% от БВП през 2014-2015 г., когато е пикът в изпълнението на оперативна програма „</w:t>
      </w:r>
      <w:r w:rsidRPr="00B11448">
        <w:rPr>
          <w:rFonts w:ascii="Times New Roman" w:hAnsi="Times New Roman" w:cs="Times New Roman"/>
          <w:i/>
        </w:rPr>
        <w:t>Околна среда</w:t>
      </w:r>
      <w:r w:rsidRPr="00B11448">
        <w:rPr>
          <w:rFonts w:ascii="Times New Roman" w:hAnsi="Times New Roman" w:cs="Times New Roman"/>
        </w:rPr>
        <w:t>“ . Преобладаващата част от средствата (малко над ½ средно за периода) се разходват за управление на отпадъците, а останалата част е посветена главно на финансиране на дейности по управление на отпадъчните води и опазване чистотата на въздуха; финансирането на действия за опазване на природното разнообразие и екологични иновации е пренебрежимо малко.</w:t>
      </w:r>
      <w:r>
        <w:rPr>
          <w:rFonts w:ascii="Times New Roman" w:hAnsi="Times New Roman" w:cs="Times New Roman"/>
        </w:rPr>
        <w:t xml:space="preserve"> Разходваните средства довеждат до някои благоприятни развития, основно по линия на </w:t>
      </w:r>
      <w:r w:rsidR="001F1F87">
        <w:rPr>
          <w:rFonts w:ascii="Times New Roman" w:hAnsi="Times New Roman" w:cs="Times New Roman"/>
        </w:rPr>
        <w:t xml:space="preserve">реконструкция и </w:t>
      </w:r>
      <w:r>
        <w:rPr>
          <w:rFonts w:ascii="Times New Roman" w:hAnsi="Times New Roman" w:cs="Times New Roman"/>
        </w:rPr>
        <w:t xml:space="preserve">изграждане на ВиК инфраструктура. </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C4678E">
        <w:rPr>
          <w:rFonts w:ascii="Times New Roman" w:hAnsi="Times New Roman" w:cs="Times New Roman"/>
        </w:rPr>
        <w:t xml:space="preserve">Системите за централно </w:t>
      </w:r>
      <w:r w:rsidRPr="00181B68">
        <w:rPr>
          <w:rFonts w:ascii="Times New Roman" w:eastAsia="Calibri" w:hAnsi="Times New Roman" w:cs="Times New Roman"/>
          <w:b/>
          <w:color w:val="365F91"/>
          <w:lang w:eastAsia="en-US"/>
        </w:rPr>
        <w:t>водоснабдяване</w:t>
      </w:r>
      <w:r w:rsidRPr="00C4678E">
        <w:rPr>
          <w:rFonts w:ascii="Times New Roman" w:hAnsi="Times New Roman" w:cs="Times New Roman"/>
        </w:rPr>
        <w:t xml:space="preserve"> покриват 99.</w:t>
      </w:r>
      <w:r w:rsidR="004373FD">
        <w:rPr>
          <w:rFonts w:ascii="Times New Roman" w:hAnsi="Times New Roman" w:cs="Times New Roman"/>
        </w:rPr>
        <w:t>4</w:t>
      </w:r>
      <w:r w:rsidRPr="00C4678E">
        <w:rPr>
          <w:rFonts w:ascii="Times New Roman" w:hAnsi="Times New Roman" w:cs="Times New Roman"/>
        </w:rPr>
        <w:t>% от населението през 201</w:t>
      </w:r>
      <w:r w:rsidR="004373FD">
        <w:rPr>
          <w:rFonts w:ascii="Times New Roman" w:hAnsi="Times New Roman" w:cs="Times New Roman"/>
        </w:rPr>
        <w:t>7</w:t>
      </w:r>
      <w:r w:rsidRPr="00C4678E">
        <w:rPr>
          <w:rFonts w:ascii="Times New Roman" w:hAnsi="Times New Roman" w:cs="Times New Roman"/>
        </w:rPr>
        <w:t xml:space="preserve"> г., като по този показател страната изпреварва част от </w:t>
      </w:r>
      <w:proofErr w:type="spellStart"/>
      <w:r w:rsidRPr="00C4678E">
        <w:rPr>
          <w:rFonts w:ascii="Times New Roman" w:hAnsi="Times New Roman" w:cs="Times New Roman"/>
        </w:rPr>
        <w:t>новоприсъединилите</w:t>
      </w:r>
      <w:proofErr w:type="spellEnd"/>
      <w:r w:rsidRPr="00C4678E">
        <w:rPr>
          <w:rFonts w:ascii="Times New Roman" w:hAnsi="Times New Roman" w:cs="Times New Roman"/>
        </w:rPr>
        <w:t xml:space="preserve"> се държави – членки на ЕС</w:t>
      </w:r>
      <w:r w:rsidRPr="00C4678E">
        <w:rPr>
          <w:rStyle w:val="FootnoteReference"/>
          <w:rFonts w:ascii="Times New Roman" w:hAnsi="Times New Roman"/>
        </w:rPr>
        <w:footnoteReference w:id="125"/>
      </w:r>
      <w:r w:rsidRPr="00C4678E">
        <w:rPr>
          <w:rFonts w:ascii="Times New Roman" w:hAnsi="Times New Roman" w:cs="Times New Roman"/>
        </w:rPr>
        <w:t xml:space="preserve">. </w:t>
      </w:r>
      <w:r>
        <w:rPr>
          <w:rFonts w:ascii="Times New Roman" w:hAnsi="Times New Roman" w:cs="Times New Roman"/>
        </w:rPr>
        <w:t>Според оценка на ЕК</w:t>
      </w:r>
      <w:r>
        <w:rPr>
          <w:rStyle w:val="FootnoteReference"/>
          <w:rFonts w:ascii="Times New Roman" w:hAnsi="Times New Roman"/>
        </w:rPr>
        <w:footnoteReference w:id="126"/>
      </w:r>
      <w:r>
        <w:rPr>
          <w:rFonts w:ascii="Times New Roman" w:hAnsi="Times New Roman" w:cs="Times New Roman"/>
        </w:rPr>
        <w:t xml:space="preserve">, </w:t>
      </w:r>
      <w:r w:rsidRPr="00DA7428">
        <w:rPr>
          <w:rFonts w:ascii="Times New Roman" w:hAnsi="Times New Roman" w:cs="Times New Roman"/>
        </w:rPr>
        <w:t xml:space="preserve">България достига много високи равнища </w:t>
      </w:r>
      <w:r>
        <w:rPr>
          <w:rFonts w:ascii="Times New Roman" w:hAnsi="Times New Roman" w:cs="Times New Roman"/>
        </w:rPr>
        <w:t>(</w:t>
      </w:r>
      <w:r w:rsidRPr="00DA7428">
        <w:rPr>
          <w:rFonts w:ascii="Times New Roman" w:hAnsi="Times New Roman" w:cs="Times New Roman"/>
        </w:rPr>
        <w:t>99</w:t>
      </w:r>
      <w:r>
        <w:rPr>
          <w:rFonts w:ascii="Times New Roman" w:hAnsi="Times New Roman" w:cs="Times New Roman"/>
        </w:rPr>
        <w:t>-</w:t>
      </w:r>
      <w:r w:rsidRPr="00DA7428">
        <w:rPr>
          <w:rFonts w:ascii="Times New Roman" w:hAnsi="Times New Roman" w:cs="Times New Roman"/>
        </w:rPr>
        <w:t>100%</w:t>
      </w:r>
      <w:r>
        <w:rPr>
          <w:rFonts w:ascii="Times New Roman" w:hAnsi="Times New Roman" w:cs="Times New Roman"/>
        </w:rPr>
        <w:t>)</w:t>
      </w:r>
      <w:r w:rsidRPr="00DA7428">
        <w:rPr>
          <w:rFonts w:ascii="Times New Roman" w:hAnsi="Times New Roman" w:cs="Times New Roman"/>
        </w:rPr>
        <w:t xml:space="preserve"> на съответствие на питейната вода за микробиологичните и химичните параметри и параметрите с ориентировъчна функция, </w:t>
      </w:r>
      <w:r>
        <w:rPr>
          <w:rFonts w:ascii="Times New Roman" w:hAnsi="Times New Roman" w:cs="Times New Roman"/>
        </w:rPr>
        <w:t>заложени в д</w:t>
      </w:r>
      <w:r w:rsidRPr="00DA7428">
        <w:rPr>
          <w:rFonts w:ascii="Times New Roman" w:hAnsi="Times New Roman" w:cs="Times New Roman"/>
        </w:rPr>
        <w:t>ирективата за питейната вода.</w:t>
      </w:r>
      <w:r>
        <w:rPr>
          <w:rFonts w:ascii="Times New Roman" w:hAnsi="Times New Roman" w:cs="Times New Roman"/>
        </w:rPr>
        <w:t xml:space="preserve"> Усилията за частично реконструиране на водоснабдителната мрежа през последните години рефлектират в намаляване на загубите с повече от 4 </w:t>
      </w:r>
      <w:r w:rsidRPr="0008176C">
        <w:rPr>
          <w:rFonts w:ascii="Times New Roman" w:hAnsi="Times New Roman" w:cs="Times New Roman"/>
        </w:rPr>
        <w:t>процентн</w:t>
      </w:r>
      <w:r>
        <w:rPr>
          <w:rFonts w:ascii="Times New Roman" w:hAnsi="Times New Roman" w:cs="Times New Roman"/>
        </w:rPr>
        <w:t>и</w:t>
      </w:r>
      <w:r w:rsidRPr="0008176C">
        <w:rPr>
          <w:rFonts w:ascii="Times New Roman" w:hAnsi="Times New Roman" w:cs="Times New Roman"/>
        </w:rPr>
        <w:t xml:space="preserve"> пункт</w:t>
      </w:r>
      <w:r>
        <w:rPr>
          <w:rFonts w:ascii="Times New Roman" w:hAnsi="Times New Roman" w:cs="Times New Roman"/>
        </w:rPr>
        <w:t xml:space="preserve">а, въпреки че остават високи и достигат </w:t>
      </w:r>
      <w:r w:rsidRPr="0008176C">
        <w:rPr>
          <w:rFonts w:ascii="Times New Roman" w:hAnsi="Times New Roman" w:cs="Times New Roman"/>
        </w:rPr>
        <w:t>5</w:t>
      </w:r>
      <w:r>
        <w:rPr>
          <w:rFonts w:ascii="Times New Roman" w:hAnsi="Times New Roman" w:cs="Times New Roman"/>
        </w:rPr>
        <w:t>6.8</w:t>
      </w:r>
      <w:r w:rsidRPr="0008176C">
        <w:rPr>
          <w:rFonts w:ascii="Times New Roman" w:hAnsi="Times New Roman" w:cs="Times New Roman"/>
        </w:rPr>
        <w:t>% от постъпилата вода в мрежата през 201</w:t>
      </w:r>
      <w:r w:rsidR="004373FD">
        <w:rPr>
          <w:rFonts w:ascii="Times New Roman" w:hAnsi="Times New Roman" w:cs="Times New Roman"/>
        </w:rPr>
        <w:t>7</w:t>
      </w:r>
      <w:r w:rsidRPr="0008176C">
        <w:rPr>
          <w:rFonts w:ascii="Times New Roman" w:hAnsi="Times New Roman" w:cs="Times New Roman"/>
        </w:rPr>
        <w:t xml:space="preserve"> г.</w:t>
      </w:r>
      <w:r>
        <w:rPr>
          <w:rFonts w:ascii="Times New Roman" w:hAnsi="Times New Roman" w:cs="Times New Roman"/>
        </w:rPr>
        <w:t xml:space="preserve"> Значителните остатъчни загуби се свързват със степента на </w:t>
      </w:r>
      <w:proofErr w:type="spellStart"/>
      <w:r>
        <w:rPr>
          <w:rFonts w:ascii="Times New Roman" w:hAnsi="Times New Roman" w:cs="Times New Roman"/>
        </w:rPr>
        <w:t>амортизираност</w:t>
      </w:r>
      <w:proofErr w:type="spellEnd"/>
      <w:r>
        <w:rPr>
          <w:rFonts w:ascii="Times New Roman" w:hAnsi="Times New Roman" w:cs="Times New Roman"/>
        </w:rPr>
        <w:t xml:space="preserve"> на мрежата (към 2015 г. 54% от водопроводната мрежа е въведена в експлоатация преди повече от 40 години).</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Делът на населението, </w:t>
      </w:r>
      <w:r w:rsidRPr="0008176C">
        <w:rPr>
          <w:rFonts w:ascii="Times New Roman" w:hAnsi="Times New Roman" w:cs="Times New Roman"/>
        </w:rPr>
        <w:t xml:space="preserve">свързано с обществена </w:t>
      </w:r>
      <w:r w:rsidRPr="00181B68">
        <w:rPr>
          <w:rFonts w:ascii="Times New Roman" w:eastAsia="Calibri" w:hAnsi="Times New Roman" w:cs="Times New Roman"/>
          <w:b/>
          <w:color w:val="365F91"/>
          <w:lang w:eastAsia="en-US"/>
        </w:rPr>
        <w:t>канализация</w:t>
      </w:r>
      <w:r w:rsidRPr="0008176C">
        <w:rPr>
          <w:rFonts w:ascii="Times New Roman" w:hAnsi="Times New Roman" w:cs="Times New Roman"/>
        </w:rPr>
        <w:t xml:space="preserve"> </w:t>
      </w:r>
      <w:r>
        <w:rPr>
          <w:rFonts w:ascii="Times New Roman" w:hAnsi="Times New Roman" w:cs="Times New Roman"/>
        </w:rPr>
        <w:t>нараства</w:t>
      </w:r>
      <w:r w:rsidRPr="0008176C">
        <w:rPr>
          <w:rFonts w:ascii="Times New Roman" w:hAnsi="Times New Roman" w:cs="Times New Roman"/>
        </w:rPr>
        <w:t xml:space="preserve"> от 69.7% (</w:t>
      </w:r>
      <w:r>
        <w:rPr>
          <w:rFonts w:ascii="Times New Roman" w:hAnsi="Times New Roman" w:cs="Times New Roman"/>
        </w:rPr>
        <w:t xml:space="preserve">през </w:t>
      </w:r>
      <w:r w:rsidRPr="0008176C">
        <w:rPr>
          <w:rFonts w:ascii="Times New Roman" w:hAnsi="Times New Roman" w:cs="Times New Roman"/>
        </w:rPr>
        <w:t>2007 г.) на 7</w:t>
      </w:r>
      <w:r w:rsidR="004373FD">
        <w:rPr>
          <w:rFonts w:ascii="Times New Roman" w:hAnsi="Times New Roman" w:cs="Times New Roman"/>
        </w:rPr>
        <w:t>6</w:t>
      </w:r>
      <w:r w:rsidRPr="0008176C">
        <w:rPr>
          <w:rFonts w:ascii="Times New Roman" w:hAnsi="Times New Roman" w:cs="Times New Roman"/>
        </w:rPr>
        <w:t>.</w:t>
      </w:r>
      <w:r w:rsidR="004373FD">
        <w:rPr>
          <w:rFonts w:ascii="Times New Roman" w:hAnsi="Times New Roman" w:cs="Times New Roman"/>
        </w:rPr>
        <w:t>0</w:t>
      </w:r>
      <w:r w:rsidRPr="0008176C">
        <w:rPr>
          <w:rFonts w:ascii="Times New Roman" w:hAnsi="Times New Roman" w:cs="Times New Roman"/>
        </w:rPr>
        <w:t>% (201</w:t>
      </w:r>
      <w:r w:rsidR="004373FD">
        <w:rPr>
          <w:rFonts w:ascii="Times New Roman" w:hAnsi="Times New Roman" w:cs="Times New Roman"/>
        </w:rPr>
        <w:t>7</w:t>
      </w:r>
      <w:r>
        <w:rPr>
          <w:rFonts w:ascii="Times New Roman" w:hAnsi="Times New Roman" w:cs="Times New Roman"/>
        </w:rPr>
        <w:t> </w:t>
      </w:r>
      <w:r w:rsidRPr="0008176C">
        <w:rPr>
          <w:rFonts w:ascii="Times New Roman" w:hAnsi="Times New Roman" w:cs="Times New Roman"/>
        </w:rPr>
        <w:t>г.)</w:t>
      </w:r>
      <w:r>
        <w:rPr>
          <w:rFonts w:ascii="Times New Roman" w:hAnsi="Times New Roman" w:cs="Times New Roman"/>
        </w:rPr>
        <w:t xml:space="preserve">. Особено чувствително е подобрението по отношението на свързаността на населението с </w:t>
      </w:r>
      <w:r w:rsidRPr="00A34134">
        <w:rPr>
          <w:rFonts w:ascii="Times New Roman" w:hAnsi="Times New Roman" w:cs="Times New Roman"/>
        </w:rPr>
        <w:t xml:space="preserve">пречиствателни станции за </w:t>
      </w:r>
      <w:r w:rsidRPr="00181B68">
        <w:rPr>
          <w:rFonts w:ascii="Times New Roman" w:eastAsia="Calibri" w:hAnsi="Times New Roman" w:cs="Times New Roman"/>
          <w:b/>
          <w:color w:val="365F91"/>
          <w:lang w:eastAsia="en-US"/>
        </w:rPr>
        <w:t>отпадъчни води</w:t>
      </w:r>
      <w:r>
        <w:rPr>
          <w:rFonts w:ascii="Times New Roman" w:hAnsi="Times New Roman" w:cs="Times New Roman"/>
        </w:rPr>
        <w:t>, която през разглеждания период нараства с 21.</w:t>
      </w:r>
      <w:r w:rsidR="004373FD">
        <w:rPr>
          <w:rFonts w:ascii="Times New Roman" w:hAnsi="Times New Roman" w:cs="Times New Roman"/>
        </w:rPr>
        <w:t>5</w:t>
      </w:r>
      <w:r>
        <w:rPr>
          <w:rFonts w:ascii="Times New Roman" w:hAnsi="Times New Roman" w:cs="Times New Roman"/>
        </w:rPr>
        <w:t xml:space="preserve"> процентни пункта, достигайки 63.</w:t>
      </w:r>
      <w:r w:rsidR="004373FD">
        <w:rPr>
          <w:rFonts w:ascii="Times New Roman" w:hAnsi="Times New Roman" w:cs="Times New Roman"/>
        </w:rPr>
        <w:t>4</w:t>
      </w:r>
      <w:r>
        <w:rPr>
          <w:rFonts w:ascii="Times New Roman" w:hAnsi="Times New Roman" w:cs="Times New Roman"/>
        </w:rPr>
        <w:t xml:space="preserve">%, при утрояване на броя на </w:t>
      </w:r>
      <w:r w:rsidRPr="00A34134">
        <w:rPr>
          <w:rFonts w:ascii="Times New Roman" w:hAnsi="Times New Roman" w:cs="Times New Roman"/>
        </w:rPr>
        <w:t>селищните пречиствателни станции за отпадъчни води</w:t>
      </w:r>
      <w:r>
        <w:rPr>
          <w:rFonts w:ascii="Times New Roman" w:hAnsi="Times New Roman" w:cs="Times New Roman"/>
        </w:rPr>
        <w:t xml:space="preserve"> до 1</w:t>
      </w:r>
      <w:r w:rsidR="008D75DC">
        <w:rPr>
          <w:rFonts w:ascii="Times New Roman" w:hAnsi="Times New Roman" w:cs="Times New Roman"/>
        </w:rPr>
        <w:t>69</w:t>
      </w:r>
      <w:r>
        <w:rPr>
          <w:rFonts w:ascii="Times New Roman" w:hAnsi="Times New Roman" w:cs="Times New Roman"/>
        </w:rPr>
        <w:t xml:space="preserve"> през 201</w:t>
      </w:r>
      <w:r w:rsidR="008D75DC">
        <w:rPr>
          <w:rFonts w:ascii="Times New Roman" w:hAnsi="Times New Roman" w:cs="Times New Roman"/>
        </w:rPr>
        <w:t>7</w:t>
      </w:r>
      <w:r>
        <w:rPr>
          <w:rFonts w:ascii="Times New Roman" w:hAnsi="Times New Roman" w:cs="Times New Roman"/>
        </w:rPr>
        <w:t xml:space="preserve"> г. </w:t>
      </w:r>
      <w:r w:rsidRPr="00181B68">
        <w:rPr>
          <w:rFonts w:ascii="Times New Roman" w:hAnsi="Times New Roman" w:cs="Times New Roman"/>
        </w:rPr>
        <w:t>Подобр</w:t>
      </w:r>
      <w:r>
        <w:rPr>
          <w:rFonts w:ascii="Times New Roman" w:hAnsi="Times New Roman" w:cs="Times New Roman"/>
        </w:rPr>
        <w:t xml:space="preserve">ени </w:t>
      </w:r>
      <w:r w:rsidRPr="00181B68">
        <w:rPr>
          <w:rFonts w:ascii="Times New Roman" w:hAnsi="Times New Roman" w:cs="Times New Roman"/>
        </w:rPr>
        <w:t>с</w:t>
      </w:r>
      <w:r>
        <w:rPr>
          <w:rFonts w:ascii="Times New Roman" w:hAnsi="Times New Roman" w:cs="Times New Roman"/>
        </w:rPr>
        <w:t>а</w:t>
      </w:r>
      <w:r w:rsidRPr="00181B68">
        <w:rPr>
          <w:rFonts w:ascii="Times New Roman" w:hAnsi="Times New Roman" w:cs="Times New Roman"/>
        </w:rPr>
        <w:t xml:space="preserve"> технологиите на пречистване</w:t>
      </w:r>
      <w:r>
        <w:rPr>
          <w:rFonts w:ascii="Times New Roman" w:hAnsi="Times New Roman" w:cs="Times New Roman"/>
        </w:rPr>
        <w:t>, като през 201</w:t>
      </w:r>
      <w:r w:rsidR="008D75DC">
        <w:rPr>
          <w:rFonts w:ascii="Times New Roman" w:hAnsi="Times New Roman" w:cs="Times New Roman"/>
        </w:rPr>
        <w:t>7</w:t>
      </w:r>
      <w:r>
        <w:rPr>
          <w:rFonts w:ascii="Times New Roman" w:hAnsi="Times New Roman" w:cs="Times New Roman"/>
        </w:rPr>
        <w:t xml:space="preserve"> г. 69</w:t>
      </w:r>
      <w:r w:rsidR="008D75DC">
        <w:rPr>
          <w:rFonts w:ascii="Times New Roman" w:hAnsi="Times New Roman" w:cs="Times New Roman"/>
        </w:rPr>
        <w:t>.5</w:t>
      </w:r>
      <w:r>
        <w:rPr>
          <w:rFonts w:ascii="Times New Roman" w:hAnsi="Times New Roman" w:cs="Times New Roman"/>
        </w:rPr>
        <w:t xml:space="preserve">% от </w:t>
      </w:r>
      <w:r w:rsidRPr="00181B68">
        <w:rPr>
          <w:rFonts w:ascii="Times New Roman" w:hAnsi="Times New Roman" w:cs="Times New Roman"/>
        </w:rPr>
        <w:t>отведените отпадъчни води са обработени с вторични и третични методи (</w:t>
      </w:r>
      <w:proofErr w:type="spellStart"/>
      <w:r w:rsidRPr="00181B68">
        <w:rPr>
          <w:rFonts w:ascii="Times New Roman" w:hAnsi="Times New Roman" w:cs="Times New Roman"/>
        </w:rPr>
        <w:t>доп</w:t>
      </w:r>
      <w:r>
        <w:rPr>
          <w:rFonts w:ascii="Times New Roman" w:hAnsi="Times New Roman" w:cs="Times New Roman"/>
        </w:rPr>
        <w:t>речистване</w:t>
      </w:r>
      <w:proofErr w:type="spellEnd"/>
      <w:r>
        <w:rPr>
          <w:rFonts w:ascii="Times New Roman" w:hAnsi="Times New Roman" w:cs="Times New Roman"/>
        </w:rPr>
        <w:t xml:space="preserve">), спрямо </w:t>
      </w:r>
      <w:r w:rsidRPr="00181B68">
        <w:rPr>
          <w:rFonts w:ascii="Times New Roman" w:hAnsi="Times New Roman" w:cs="Times New Roman"/>
        </w:rPr>
        <w:t>50% през 20</w:t>
      </w:r>
      <w:r>
        <w:rPr>
          <w:rFonts w:ascii="Times New Roman" w:hAnsi="Times New Roman" w:cs="Times New Roman"/>
        </w:rPr>
        <w:t>07</w:t>
      </w:r>
      <w:r w:rsidRPr="00181B68">
        <w:rPr>
          <w:rFonts w:ascii="Times New Roman" w:hAnsi="Times New Roman" w:cs="Times New Roman"/>
        </w:rPr>
        <w:t xml:space="preserve"> г.</w:t>
      </w:r>
      <w:r>
        <w:rPr>
          <w:rFonts w:ascii="Times New Roman" w:hAnsi="Times New Roman" w:cs="Times New Roman"/>
        </w:rPr>
        <w:t xml:space="preserve"> Въпреки това,</w:t>
      </w:r>
      <w:r w:rsidRPr="00A34134">
        <w:t xml:space="preserve"> </w:t>
      </w:r>
      <w:r w:rsidRPr="00A34134">
        <w:rPr>
          <w:rFonts w:ascii="Times New Roman" w:hAnsi="Times New Roman" w:cs="Times New Roman"/>
        </w:rPr>
        <w:t>нуждите за инфраструктурни инвестиции в отрасъла остават високи</w:t>
      </w:r>
      <w:r>
        <w:rPr>
          <w:rFonts w:ascii="Times New Roman" w:hAnsi="Times New Roman" w:cs="Times New Roman"/>
        </w:rPr>
        <w:t>,</w:t>
      </w:r>
      <w:r w:rsidRPr="00A34134">
        <w:rPr>
          <w:rFonts w:ascii="Times New Roman" w:hAnsi="Times New Roman" w:cs="Times New Roman"/>
        </w:rPr>
        <w:t xml:space="preserve"> предвид ангажиментите на страната за постигане на съответствие с европейските директиви</w:t>
      </w:r>
      <w:r w:rsidR="008D75DC" w:rsidRPr="008D75DC">
        <w:rPr>
          <w:rFonts w:ascii="Times New Roman" w:hAnsi="Times New Roman" w:cs="Times New Roman"/>
        </w:rPr>
        <w:t>, като все още има несъответствие</w:t>
      </w:r>
      <w:r w:rsidRPr="00A34134">
        <w:rPr>
          <w:rFonts w:ascii="Times New Roman" w:hAnsi="Times New Roman" w:cs="Times New Roman"/>
        </w:rPr>
        <w:t xml:space="preserve"> в агломерации с над 10 000 </w:t>
      </w:r>
      <w:proofErr w:type="spellStart"/>
      <w:r w:rsidRPr="00A34134">
        <w:rPr>
          <w:rFonts w:ascii="Times New Roman" w:hAnsi="Times New Roman" w:cs="Times New Roman"/>
        </w:rPr>
        <w:t>екв</w:t>
      </w:r>
      <w:proofErr w:type="spellEnd"/>
      <w:r w:rsidRPr="00A34134">
        <w:rPr>
          <w:rFonts w:ascii="Times New Roman" w:hAnsi="Times New Roman" w:cs="Times New Roman"/>
        </w:rPr>
        <w:t xml:space="preserve">. ж. </w:t>
      </w:r>
      <w:r w:rsidR="008D75DC">
        <w:rPr>
          <w:rFonts w:ascii="Times New Roman" w:hAnsi="Times New Roman" w:cs="Times New Roman"/>
        </w:rPr>
        <w:t>както</w:t>
      </w:r>
      <w:r w:rsidRPr="00A34134">
        <w:rPr>
          <w:rFonts w:ascii="Times New Roman" w:hAnsi="Times New Roman" w:cs="Times New Roman"/>
        </w:rPr>
        <w:t xml:space="preserve"> в консолидираните</w:t>
      </w:r>
      <w:r w:rsidR="008D75DC" w:rsidRPr="008D75DC">
        <w:rPr>
          <w:rFonts w:ascii="Times New Roman" w:hAnsi="Times New Roman" w:cs="Times New Roman"/>
        </w:rPr>
        <w:t xml:space="preserve">, така и в </w:t>
      </w:r>
      <w:r w:rsidR="008D75DC" w:rsidRPr="008D75DC">
        <w:rPr>
          <w:rFonts w:ascii="Times New Roman" w:hAnsi="Times New Roman" w:cs="Times New Roman"/>
        </w:rPr>
        <w:lastRenderedPageBreak/>
        <w:t xml:space="preserve">неконсолидираните </w:t>
      </w:r>
      <w:r w:rsidRPr="00A34134">
        <w:rPr>
          <w:rFonts w:ascii="Times New Roman" w:hAnsi="Times New Roman" w:cs="Times New Roman"/>
        </w:rPr>
        <w:t xml:space="preserve">ВиК райони, </w:t>
      </w:r>
      <w:r w:rsidR="008D75DC">
        <w:rPr>
          <w:rFonts w:ascii="Times New Roman" w:hAnsi="Times New Roman" w:cs="Times New Roman"/>
        </w:rPr>
        <w:t>като</w:t>
      </w:r>
      <w:r w:rsidR="008D75DC" w:rsidRPr="008D75DC">
        <w:rPr>
          <w:rFonts w:ascii="Times New Roman" w:hAnsi="Times New Roman" w:cs="Times New Roman"/>
        </w:rPr>
        <w:t xml:space="preserve"> особено големи са нуждите</w:t>
      </w:r>
      <w:r w:rsidRPr="00A34134">
        <w:rPr>
          <w:rFonts w:ascii="Times New Roman" w:hAnsi="Times New Roman" w:cs="Times New Roman"/>
        </w:rPr>
        <w:t xml:space="preserve"> в агломерациите между 2 000 и 10 000 </w:t>
      </w:r>
      <w:proofErr w:type="spellStart"/>
      <w:r w:rsidRPr="00A34134">
        <w:rPr>
          <w:rFonts w:ascii="Times New Roman" w:hAnsi="Times New Roman" w:cs="Times New Roman"/>
        </w:rPr>
        <w:t>екв</w:t>
      </w:r>
      <w:proofErr w:type="spellEnd"/>
      <w:r w:rsidRPr="00A34134">
        <w:rPr>
          <w:rFonts w:ascii="Times New Roman" w:hAnsi="Times New Roman" w:cs="Times New Roman"/>
        </w:rPr>
        <w:t>. ж.</w:t>
      </w:r>
      <w:r>
        <w:rPr>
          <w:rFonts w:ascii="Times New Roman" w:hAnsi="Times New Roman" w:cs="Times New Roman"/>
        </w:rPr>
        <w:t xml:space="preserve"> </w:t>
      </w:r>
      <w:r w:rsidRPr="00A34134">
        <w:rPr>
          <w:rFonts w:ascii="Times New Roman" w:hAnsi="Times New Roman" w:cs="Times New Roman"/>
        </w:rPr>
        <w:t>Прогнозираните потребности от инвестиции</w:t>
      </w:r>
      <w:r>
        <w:rPr>
          <w:rFonts w:ascii="Times New Roman" w:hAnsi="Times New Roman" w:cs="Times New Roman"/>
        </w:rPr>
        <w:t xml:space="preserve"> </w:t>
      </w:r>
      <w:r w:rsidRPr="00A34134">
        <w:rPr>
          <w:rFonts w:ascii="Times New Roman" w:hAnsi="Times New Roman" w:cs="Times New Roman"/>
        </w:rPr>
        <w:t>за</w:t>
      </w:r>
      <w:r>
        <w:rPr>
          <w:rFonts w:ascii="Times New Roman" w:hAnsi="Times New Roman" w:cs="Times New Roman"/>
        </w:rPr>
        <w:t xml:space="preserve"> </w:t>
      </w:r>
      <w:r w:rsidRPr="00A34134">
        <w:rPr>
          <w:rFonts w:ascii="Times New Roman" w:hAnsi="Times New Roman" w:cs="Times New Roman"/>
        </w:rPr>
        <w:t xml:space="preserve">достигането на пълно съответствие с </w:t>
      </w:r>
      <w:r>
        <w:rPr>
          <w:rFonts w:ascii="Times New Roman" w:hAnsi="Times New Roman" w:cs="Times New Roman"/>
        </w:rPr>
        <w:t>д</w:t>
      </w:r>
      <w:r w:rsidRPr="00A34134">
        <w:rPr>
          <w:rFonts w:ascii="Times New Roman" w:hAnsi="Times New Roman" w:cs="Times New Roman"/>
        </w:rPr>
        <w:t>ирективата</w:t>
      </w:r>
      <w:r>
        <w:rPr>
          <w:rFonts w:ascii="Times New Roman" w:hAnsi="Times New Roman" w:cs="Times New Roman"/>
        </w:rPr>
        <w:t xml:space="preserve"> за пречистването на градските отпадъчни води</w:t>
      </w:r>
      <w:r>
        <w:rPr>
          <w:rStyle w:val="FootnoteReference"/>
          <w:rFonts w:ascii="Times New Roman" w:hAnsi="Times New Roman"/>
        </w:rPr>
        <w:footnoteReference w:id="127"/>
      </w:r>
      <w:r>
        <w:rPr>
          <w:rFonts w:ascii="Times New Roman" w:hAnsi="Times New Roman" w:cs="Times New Roman"/>
        </w:rPr>
        <w:t xml:space="preserve"> </w:t>
      </w:r>
      <w:r w:rsidRPr="00A34134">
        <w:rPr>
          <w:rFonts w:ascii="Times New Roman" w:hAnsi="Times New Roman" w:cs="Times New Roman"/>
        </w:rPr>
        <w:t>в</w:t>
      </w:r>
      <w:r>
        <w:rPr>
          <w:rFonts w:ascii="Times New Roman" w:hAnsi="Times New Roman" w:cs="Times New Roman"/>
        </w:rPr>
        <w:t xml:space="preserve"> </w:t>
      </w:r>
      <w:r w:rsidRPr="00A34134">
        <w:rPr>
          <w:rFonts w:ascii="Times New Roman" w:hAnsi="Times New Roman" w:cs="Times New Roman"/>
        </w:rPr>
        <w:t xml:space="preserve">България са в размер на </w:t>
      </w:r>
      <w:r w:rsidR="006D3339">
        <w:rPr>
          <w:rFonts w:ascii="Times New Roman" w:hAnsi="Times New Roman" w:cs="Times New Roman"/>
        </w:rPr>
        <w:t>3</w:t>
      </w:r>
      <w:r w:rsidRPr="00A34134">
        <w:rPr>
          <w:rFonts w:ascii="Times New Roman" w:hAnsi="Times New Roman" w:cs="Times New Roman"/>
        </w:rPr>
        <w:t xml:space="preserve"> </w:t>
      </w:r>
      <w:r w:rsidR="006D3339">
        <w:rPr>
          <w:rFonts w:ascii="Times New Roman" w:hAnsi="Times New Roman" w:cs="Times New Roman"/>
        </w:rPr>
        <w:t>035</w:t>
      </w:r>
      <w:r w:rsidRPr="00A34134">
        <w:rPr>
          <w:rFonts w:ascii="Times New Roman" w:hAnsi="Times New Roman" w:cs="Times New Roman"/>
        </w:rPr>
        <w:t xml:space="preserve"> млн</w:t>
      </w:r>
      <w:r>
        <w:rPr>
          <w:rFonts w:ascii="Times New Roman" w:hAnsi="Times New Roman" w:cs="Times New Roman"/>
        </w:rPr>
        <w:t>.</w:t>
      </w:r>
      <w:r w:rsidRPr="00A34134">
        <w:rPr>
          <w:rFonts w:ascii="Times New Roman" w:hAnsi="Times New Roman" w:cs="Times New Roman"/>
        </w:rPr>
        <w:t xml:space="preserve"> евр</w:t>
      </w:r>
      <w:r>
        <w:rPr>
          <w:rFonts w:ascii="Times New Roman" w:hAnsi="Times New Roman" w:cs="Times New Roman"/>
        </w:rPr>
        <w:t>о</w:t>
      </w:r>
      <w:r>
        <w:rPr>
          <w:rStyle w:val="FootnoteReference"/>
          <w:rFonts w:ascii="Times New Roman" w:hAnsi="Times New Roman"/>
        </w:rPr>
        <w:footnoteReference w:id="128"/>
      </w:r>
      <w:r>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376F6D">
        <w:rPr>
          <w:rFonts w:ascii="Times New Roman" w:hAnsi="Times New Roman" w:cs="Times New Roman"/>
        </w:rPr>
        <w:t xml:space="preserve">В плановете за </w:t>
      </w:r>
      <w:r w:rsidRPr="00376F6D">
        <w:rPr>
          <w:rFonts w:ascii="Times New Roman" w:eastAsia="Calibri" w:hAnsi="Times New Roman" w:cs="Times New Roman"/>
          <w:b/>
          <w:color w:val="365F91"/>
          <w:lang w:eastAsia="en-US"/>
        </w:rPr>
        <w:t>управление на речните басейни</w:t>
      </w:r>
      <w:r w:rsidRPr="00376F6D">
        <w:rPr>
          <w:rFonts w:ascii="Times New Roman" w:hAnsi="Times New Roman" w:cs="Times New Roman"/>
        </w:rPr>
        <w:t xml:space="preserve"> са установени значителни слабости</w:t>
      </w:r>
      <w:r w:rsidRPr="00376F6D">
        <w:rPr>
          <w:rStyle w:val="FootnoteReference"/>
          <w:rFonts w:ascii="Times New Roman" w:hAnsi="Times New Roman"/>
        </w:rPr>
        <w:footnoteReference w:id="129"/>
      </w:r>
      <w:r w:rsidRPr="00376F6D">
        <w:rPr>
          <w:rFonts w:ascii="Times New Roman" w:hAnsi="Times New Roman" w:cs="Times New Roman"/>
        </w:rPr>
        <w:t>, които показват пропуски в системата за мониторинг, оценката на натиска и методиките за класификация на състоянието на водните обекти. Това води до висока степен на несигурност по отношение на натиска, състоянието и ефективността на програмите от мерки.</w:t>
      </w:r>
      <w:r>
        <w:rPr>
          <w:rFonts w:ascii="Times New Roman" w:hAnsi="Times New Roman" w:cs="Times New Roman"/>
        </w:rPr>
        <w:t xml:space="preserve"> По-малко от половината</w:t>
      </w:r>
      <w:r w:rsidRPr="00376F6D">
        <w:rPr>
          <w:rFonts w:ascii="Times New Roman" w:hAnsi="Times New Roman" w:cs="Times New Roman"/>
        </w:rPr>
        <w:t xml:space="preserve"> от естествените повърхностни водни обекти са с добро екологично състояние </w:t>
      </w:r>
      <w:r>
        <w:rPr>
          <w:rFonts w:ascii="Times New Roman" w:hAnsi="Times New Roman" w:cs="Times New Roman"/>
        </w:rPr>
        <w:t>и само 1/3</w:t>
      </w:r>
      <w:r w:rsidRPr="00376F6D">
        <w:rPr>
          <w:rFonts w:ascii="Times New Roman" w:hAnsi="Times New Roman" w:cs="Times New Roman"/>
        </w:rPr>
        <w:t xml:space="preserve"> от силно модифицираните и изкуствените повърхностни водни обекти са </w:t>
      </w:r>
      <w:r>
        <w:rPr>
          <w:rFonts w:ascii="Times New Roman" w:hAnsi="Times New Roman" w:cs="Times New Roman"/>
        </w:rPr>
        <w:t>с</w:t>
      </w:r>
      <w:r w:rsidRPr="00376F6D">
        <w:rPr>
          <w:rFonts w:ascii="Times New Roman" w:hAnsi="Times New Roman" w:cs="Times New Roman"/>
        </w:rPr>
        <w:t xml:space="preserve"> добър екологичен </w:t>
      </w:r>
      <w:r w:rsidRPr="00A77B50">
        <w:rPr>
          <w:rFonts w:ascii="Times New Roman" w:hAnsi="Times New Roman" w:cs="Times New Roman"/>
        </w:rPr>
        <w:t>потенциал.</w:t>
      </w:r>
      <w:r>
        <w:rPr>
          <w:rFonts w:ascii="Times New Roman" w:hAnsi="Times New Roman" w:cs="Times New Roman"/>
        </w:rPr>
        <w:t xml:space="preserve"> </w:t>
      </w:r>
      <w:r w:rsidRPr="00A77B50">
        <w:rPr>
          <w:rFonts w:ascii="Times New Roman" w:hAnsi="Times New Roman" w:cs="Times New Roman"/>
        </w:rPr>
        <w:t>Налице е необходимост</w:t>
      </w:r>
      <w:r>
        <w:rPr>
          <w:rFonts w:ascii="Times New Roman" w:hAnsi="Times New Roman" w:cs="Times New Roman"/>
        </w:rPr>
        <w:t xml:space="preserve"> от допълнителни усилия за </w:t>
      </w:r>
      <w:r w:rsidR="006D3339" w:rsidRPr="006D3339">
        <w:rPr>
          <w:rFonts w:ascii="Times New Roman" w:hAnsi="Times New Roman" w:cs="Times New Roman"/>
        </w:rPr>
        <w:t>подобряване прилагането</w:t>
      </w:r>
      <w:r w:rsidR="006D3339">
        <w:rPr>
          <w:rFonts w:ascii="Times New Roman" w:hAnsi="Times New Roman" w:cs="Times New Roman"/>
        </w:rPr>
        <w:t xml:space="preserve"> </w:t>
      </w:r>
      <w:r>
        <w:rPr>
          <w:rFonts w:ascii="Times New Roman" w:hAnsi="Times New Roman" w:cs="Times New Roman"/>
        </w:rPr>
        <w:t>на р</w:t>
      </w:r>
      <w:r w:rsidRPr="00A77B50">
        <w:rPr>
          <w:rFonts w:ascii="Times New Roman" w:hAnsi="Times New Roman" w:cs="Times New Roman"/>
        </w:rPr>
        <w:t>амковата директива за водите,</w:t>
      </w:r>
      <w:r w:rsidR="006D3339" w:rsidRPr="006D3339">
        <w:t xml:space="preserve"> </w:t>
      </w:r>
      <w:r w:rsidR="006D3339" w:rsidRPr="006D3339">
        <w:rPr>
          <w:rFonts w:ascii="Times New Roman" w:hAnsi="Times New Roman" w:cs="Times New Roman"/>
        </w:rPr>
        <w:t>вкл. преодоляване недостига на данни, доразработване на системата за класификация на състоянието, подобряване достоверността на оценките, включително чрез подобряване на методологията и въвеждане на модели,</w:t>
      </w:r>
      <w:r w:rsidRPr="00A77B50">
        <w:rPr>
          <w:rFonts w:ascii="Times New Roman" w:hAnsi="Times New Roman" w:cs="Times New Roman"/>
        </w:rPr>
        <w:t xml:space="preserve"> с </w:t>
      </w:r>
      <w:r>
        <w:rPr>
          <w:rFonts w:ascii="Times New Roman" w:hAnsi="Times New Roman" w:cs="Times New Roman"/>
        </w:rPr>
        <w:t xml:space="preserve">цел </w:t>
      </w:r>
      <w:r w:rsidRPr="00A77B50">
        <w:rPr>
          <w:rFonts w:ascii="Times New Roman" w:hAnsi="Times New Roman" w:cs="Times New Roman"/>
        </w:rPr>
        <w:t>осигур</w:t>
      </w:r>
      <w:r>
        <w:rPr>
          <w:rFonts w:ascii="Times New Roman" w:hAnsi="Times New Roman" w:cs="Times New Roman"/>
        </w:rPr>
        <w:t>яване на</w:t>
      </w:r>
      <w:r w:rsidRPr="00A77B50">
        <w:rPr>
          <w:rFonts w:ascii="Times New Roman" w:hAnsi="Times New Roman" w:cs="Times New Roman"/>
        </w:rPr>
        <w:t xml:space="preserve"> защита, подобряване и устойчиво използване</w:t>
      </w:r>
      <w:r w:rsidRPr="00376F6D">
        <w:rPr>
          <w:rFonts w:ascii="Times New Roman" w:hAnsi="Times New Roman" w:cs="Times New Roman"/>
        </w:rPr>
        <w:t xml:space="preserve"> на водната околна среда в </w:t>
      </w:r>
      <w:r>
        <w:rPr>
          <w:rFonts w:ascii="Times New Roman" w:hAnsi="Times New Roman" w:cs="Times New Roman"/>
        </w:rPr>
        <w:t>страната</w:t>
      </w:r>
      <w:r w:rsidRPr="00376F6D">
        <w:rPr>
          <w:rFonts w:ascii="Times New Roman" w:hAnsi="Times New Roman" w:cs="Times New Roman"/>
        </w:rPr>
        <w:t>.</w:t>
      </w:r>
      <w:r>
        <w:rPr>
          <w:rFonts w:ascii="Times New Roman" w:hAnsi="Times New Roman" w:cs="Times New Roman"/>
        </w:rPr>
        <w:t xml:space="preserve"> </w:t>
      </w:r>
      <w:r w:rsidR="006D3339" w:rsidRPr="006D3339">
        <w:rPr>
          <w:rFonts w:ascii="Times New Roman" w:hAnsi="Times New Roman" w:cs="Times New Roman"/>
        </w:rPr>
        <w:t>Значителен принос за преодоляване на пропуските</w:t>
      </w:r>
      <w:r>
        <w:rPr>
          <w:rFonts w:ascii="Times New Roman" w:hAnsi="Times New Roman" w:cs="Times New Roman"/>
        </w:rPr>
        <w:t xml:space="preserve"> се очаква от сключения през 2018 г. договор със Световната банка за </w:t>
      </w:r>
      <w:r w:rsidRPr="004E6542">
        <w:rPr>
          <w:rFonts w:ascii="Times New Roman" w:hAnsi="Times New Roman" w:cs="Times New Roman"/>
        </w:rPr>
        <w:t xml:space="preserve">подготовката на </w:t>
      </w:r>
      <w:r>
        <w:rPr>
          <w:rFonts w:ascii="Times New Roman" w:hAnsi="Times New Roman" w:cs="Times New Roman"/>
        </w:rPr>
        <w:t>актуализирани п</w:t>
      </w:r>
      <w:r w:rsidRPr="004E6542">
        <w:rPr>
          <w:rFonts w:ascii="Times New Roman" w:hAnsi="Times New Roman" w:cs="Times New Roman"/>
        </w:rPr>
        <w:t xml:space="preserve">ланове за управление на речните басейни и на </w:t>
      </w:r>
      <w:r>
        <w:rPr>
          <w:rFonts w:ascii="Times New Roman" w:hAnsi="Times New Roman" w:cs="Times New Roman"/>
        </w:rPr>
        <w:t>п</w:t>
      </w:r>
      <w:r w:rsidRPr="004E6542">
        <w:rPr>
          <w:rFonts w:ascii="Times New Roman" w:hAnsi="Times New Roman" w:cs="Times New Roman"/>
        </w:rPr>
        <w:t xml:space="preserve">ланове за управление на риска от наводнения в съответствие с изискванията на </w:t>
      </w:r>
      <w:r>
        <w:rPr>
          <w:rFonts w:ascii="Times New Roman" w:hAnsi="Times New Roman" w:cs="Times New Roman"/>
        </w:rPr>
        <w:t>р</w:t>
      </w:r>
      <w:r w:rsidRPr="004E6542">
        <w:rPr>
          <w:rFonts w:ascii="Times New Roman" w:hAnsi="Times New Roman" w:cs="Times New Roman"/>
        </w:rPr>
        <w:t xml:space="preserve">амковата директива за водите и </w:t>
      </w:r>
      <w:r>
        <w:rPr>
          <w:rFonts w:ascii="Times New Roman" w:hAnsi="Times New Roman" w:cs="Times New Roman"/>
        </w:rPr>
        <w:t>д</w:t>
      </w:r>
      <w:r w:rsidRPr="004E6542">
        <w:rPr>
          <w:rFonts w:ascii="Times New Roman" w:hAnsi="Times New Roman" w:cs="Times New Roman"/>
        </w:rPr>
        <w:t>ирективата относно оценката и управлението на риска от наводнения на ЕС</w:t>
      </w:r>
      <w:r>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EB3489">
        <w:rPr>
          <w:rFonts w:ascii="Times New Roman" w:hAnsi="Times New Roman" w:cs="Times New Roman"/>
        </w:rPr>
        <w:t xml:space="preserve">По отношение на </w:t>
      </w:r>
      <w:r w:rsidRPr="00EB3489">
        <w:rPr>
          <w:rFonts w:ascii="Times New Roman" w:eastAsia="Calibri" w:hAnsi="Times New Roman" w:cs="Times New Roman"/>
          <w:b/>
          <w:color w:val="365F91"/>
          <w:lang w:eastAsia="en-US"/>
        </w:rPr>
        <w:t>качеството на атмосферния въздух</w:t>
      </w:r>
      <w:r w:rsidRPr="00EB3489">
        <w:rPr>
          <w:rFonts w:ascii="Times New Roman" w:hAnsi="Times New Roman" w:cs="Times New Roman"/>
        </w:rPr>
        <w:t xml:space="preserve">, данните на Изпълнителната агенция по околна среда показват, че е постигнато значително намаление в емисиите на серни оксиди, азотни оксиди, летливи органични съединения и амоняк, като към 2016 г. България изпълнява </w:t>
      </w:r>
      <w:r>
        <w:rPr>
          <w:rFonts w:ascii="Times New Roman" w:hAnsi="Times New Roman" w:cs="Times New Roman"/>
        </w:rPr>
        <w:t xml:space="preserve">международните си </w:t>
      </w:r>
      <w:r w:rsidRPr="00EB3489">
        <w:rPr>
          <w:rFonts w:ascii="Times New Roman" w:hAnsi="Times New Roman" w:cs="Times New Roman"/>
        </w:rPr>
        <w:t>ангажименти</w:t>
      </w:r>
      <w:r>
        <w:rPr>
          <w:rStyle w:val="FootnoteReference"/>
          <w:rFonts w:ascii="Times New Roman" w:hAnsi="Times New Roman"/>
        </w:rPr>
        <w:footnoteReference w:id="130"/>
      </w:r>
      <w:r>
        <w:rPr>
          <w:rFonts w:ascii="Times New Roman" w:hAnsi="Times New Roman" w:cs="Times New Roman"/>
        </w:rPr>
        <w:t xml:space="preserve"> </w:t>
      </w:r>
      <w:r w:rsidRPr="00EB3489">
        <w:rPr>
          <w:rFonts w:ascii="Times New Roman" w:hAnsi="Times New Roman" w:cs="Times New Roman"/>
        </w:rPr>
        <w:t xml:space="preserve">и </w:t>
      </w:r>
      <w:r>
        <w:rPr>
          <w:rFonts w:ascii="Times New Roman" w:hAnsi="Times New Roman" w:cs="Times New Roman"/>
        </w:rPr>
        <w:t xml:space="preserve">националните </w:t>
      </w:r>
      <w:r w:rsidRPr="00EB3489">
        <w:rPr>
          <w:rFonts w:ascii="Times New Roman" w:hAnsi="Times New Roman" w:cs="Times New Roman"/>
        </w:rPr>
        <w:t>цели</w:t>
      </w:r>
      <w:r>
        <w:rPr>
          <w:rStyle w:val="FootnoteReference"/>
          <w:rFonts w:ascii="Times New Roman" w:hAnsi="Times New Roman"/>
        </w:rPr>
        <w:footnoteReference w:id="131"/>
      </w:r>
      <w:r w:rsidRPr="00EB3489">
        <w:rPr>
          <w:rFonts w:ascii="Times New Roman" w:hAnsi="Times New Roman" w:cs="Times New Roman"/>
        </w:rPr>
        <w:t xml:space="preserve"> за 2020 г.</w:t>
      </w:r>
      <w:r>
        <w:rPr>
          <w:rFonts w:ascii="Times New Roman" w:hAnsi="Times New Roman" w:cs="Times New Roman"/>
        </w:rPr>
        <w:t xml:space="preserve"> В същото време обаче обратна тенденция се наблюдава по отношение на фините </w:t>
      </w:r>
      <w:proofErr w:type="spellStart"/>
      <w:r>
        <w:rPr>
          <w:rFonts w:ascii="Times New Roman" w:hAnsi="Times New Roman" w:cs="Times New Roman"/>
        </w:rPr>
        <w:t>прахови</w:t>
      </w:r>
      <w:proofErr w:type="spellEnd"/>
      <w:r>
        <w:rPr>
          <w:rFonts w:ascii="Times New Roman" w:hAnsi="Times New Roman" w:cs="Times New Roman"/>
        </w:rPr>
        <w:t xml:space="preserve"> частици (ФПЧ</w:t>
      </w:r>
      <w:r w:rsidRPr="007F3ABF">
        <w:rPr>
          <w:rFonts w:ascii="Times New Roman" w:hAnsi="Times New Roman" w:cs="Times New Roman"/>
          <w:vertAlign w:val="subscript"/>
        </w:rPr>
        <w:t>10</w:t>
      </w:r>
      <w:r>
        <w:rPr>
          <w:rFonts w:ascii="Times New Roman" w:hAnsi="Times New Roman" w:cs="Times New Roman"/>
        </w:rPr>
        <w:t xml:space="preserve"> и ФПЧ</w:t>
      </w:r>
      <w:r w:rsidRPr="007F3ABF">
        <w:rPr>
          <w:rFonts w:ascii="Times New Roman" w:hAnsi="Times New Roman" w:cs="Times New Roman"/>
          <w:vertAlign w:val="subscript"/>
        </w:rPr>
        <w:t>2.5</w:t>
      </w:r>
      <w:r>
        <w:rPr>
          <w:rFonts w:ascii="Times New Roman" w:hAnsi="Times New Roman" w:cs="Times New Roman"/>
        </w:rPr>
        <w:t>). П</w:t>
      </w:r>
      <w:r w:rsidRPr="007F3ABF">
        <w:rPr>
          <w:rFonts w:ascii="Times New Roman" w:hAnsi="Times New Roman" w:cs="Times New Roman"/>
        </w:rPr>
        <w:t>роцентът</w:t>
      </w:r>
      <w:r>
        <w:rPr>
          <w:rFonts w:ascii="Times New Roman" w:hAnsi="Times New Roman" w:cs="Times New Roman"/>
        </w:rPr>
        <w:t xml:space="preserve"> </w:t>
      </w:r>
      <w:r w:rsidRPr="007F3ABF">
        <w:rPr>
          <w:rFonts w:ascii="Times New Roman" w:hAnsi="Times New Roman" w:cs="Times New Roman"/>
        </w:rPr>
        <w:t>на населението, живеещо при нива на</w:t>
      </w:r>
      <w:r>
        <w:rPr>
          <w:rFonts w:ascii="Times New Roman" w:hAnsi="Times New Roman" w:cs="Times New Roman"/>
        </w:rPr>
        <w:t xml:space="preserve"> </w:t>
      </w:r>
      <w:r w:rsidRPr="007F3ABF">
        <w:rPr>
          <w:rFonts w:ascii="Times New Roman" w:hAnsi="Times New Roman" w:cs="Times New Roman"/>
        </w:rPr>
        <w:t>замърсяване с ФПЧ</w:t>
      </w:r>
      <w:r w:rsidRPr="007F3ABF">
        <w:rPr>
          <w:rFonts w:ascii="Times New Roman" w:hAnsi="Times New Roman" w:cs="Times New Roman"/>
          <w:vertAlign w:val="subscript"/>
        </w:rPr>
        <w:t>10</w:t>
      </w:r>
      <w:r w:rsidRPr="007F3ABF">
        <w:rPr>
          <w:rFonts w:ascii="Times New Roman" w:hAnsi="Times New Roman" w:cs="Times New Roman"/>
        </w:rPr>
        <w:t xml:space="preserve"> над допустимите норми </w:t>
      </w:r>
      <w:r>
        <w:rPr>
          <w:rFonts w:ascii="Times New Roman" w:hAnsi="Times New Roman" w:cs="Times New Roman"/>
        </w:rPr>
        <w:t xml:space="preserve">нараства и достига </w:t>
      </w:r>
      <w:r w:rsidRPr="007F3ABF">
        <w:rPr>
          <w:rFonts w:ascii="Times New Roman" w:hAnsi="Times New Roman" w:cs="Times New Roman"/>
        </w:rPr>
        <w:t>87</w:t>
      </w:r>
      <w:r>
        <w:rPr>
          <w:rFonts w:ascii="Times New Roman" w:hAnsi="Times New Roman" w:cs="Times New Roman"/>
        </w:rPr>
        <w:t>.</w:t>
      </w:r>
      <w:r w:rsidRPr="007F3ABF">
        <w:rPr>
          <w:rFonts w:ascii="Times New Roman" w:hAnsi="Times New Roman" w:cs="Times New Roman"/>
        </w:rPr>
        <w:t>2%</w:t>
      </w:r>
      <w:r>
        <w:rPr>
          <w:rStyle w:val="FootnoteReference"/>
          <w:rFonts w:ascii="Times New Roman" w:hAnsi="Times New Roman"/>
        </w:rPr>
        <w:footnoteReference w:id="132"/>
      </w:r>
      <w:r>
        <w:rPr>
          <w:rFonts w:ascii="Times New Roman" w:hAnsi="Times New Roman" w:cs="Times New Roman"/>
        </w:rPr>
        <w:t xml:space="preserve"> през 2016 г.</w:t>
      </w:r>
      <w:r w:rsidRPr="00676272">
        <w:rPr>
          <w:rFonts w:ascii="Times New Roman" w:hAnsi="Times New Roman" w:cs="Times New Roman"/>
        </w:rPr>
        <w:t xml:space="preserve"> </w:t>
      </w:r>
      <w:r>
        <w:rPr>
          <w:rFonts w:ascii="Times New Roman" w:hAnsi="Times New Roman" w:cs="Times New Roman"/>
        </w:rPr>
        <w:t xml:space="preserve">Основен източник на </w:t>
      </w:r>
      <w:r w:rsidRPr="00676272">
        <w:rPr>
          <w:rFonts w:ascii="Times New Roman" w:hAnsi="Times New Roman" w:cs="Times New Roman"/>
        </w:rPr>
        <w:t xml:space="preserve">регистрираните наднормени замърсявания са изгарянето на горива за битово отопление, транспортът (включително замърсените и лошо поддържани пътни настилки) и промишлените дейности на територията на съответните общини. </w:t>
      </w:r>
      <w:r w:rsidRPr="007F3ABF">
        <w:rPr>
          <w:rFonts w:ascii="Times New Roman" w:hAnsi="Times New Roman" w:cs="Times New Roman"/>
        </w:rPr>
        <w:t xml:space="preserve">Допълнителен принос към замърсяването на атмосферния въздух с </w:t>
      </w:r>
      <w:proofErr w:type="spellStart"/>
      <w:r w:rsidRPr="007F3ABF">
        <w:rPr>
          <w:rFonts w:ascii="Times New Roman" w:hAnsi="Times New Roman" w:cs="Times New Roman"/>
        </w:rPr>
        <w:t>прахови</w:t>
      </w:r>
      <w:proofErr w:type="spellEnd"/>
      <w:r w:rsidRPr="007F3ABF">
        <w:rPr>
          <w:rFonts w:ascii="Times New Roman" w:hAnsi="Times New Roman" w:cs="Times New Roman"/>
        </w:rPr>
        <w:t xml:space="preserve"> частици</w:t>
      </w:r>
      <w:r>
        <w:rPr>
          <w:rFonts w:ascii="Times New Roman" w:hAnsi="Times New Roman" w:cs="Times New Roman"/>
        </w:rPr>
        <w:t xml:space="preserve"> </w:t>
      </w:r>
      <w:r w:rsidRPr="007F3ABF">
        <w:rPr>
          <w:rFonts w:ascii="Times New Roman" w:hAnsi="Times New Roman" w:cs="Times New Roman"/>
        </w:rPr>
        <w:t>оказва и влиянието на неблагоприятните климатични условия в страната като</w:t>
      </w:r>
      <w:r>
        <w:rPr>
          <w:rFonts w:ascii="Times New Roman" w:hAnsi="Times New Roman" w:cs="Times New Roman"/>
        </w:rPr>
        <w:t xml:space="preserve"> </w:t>
      </w:r>
      <w:r w:rsidRPr="007F3ABF">
        <w:rPr>
          <w:rFonts w:ascii="Times New Roman" w:hAnsi="Times New Roman" w:cs="Times New Roman"/>
        </w:rPr>
        <w:t>продължителното време с ниска скорост на вятъра и продължителни засушавания.</w:t>
      </w:r>
      <w:r>
        <w:rPr>
          <w:rFonts w:ascii="Times New Roman" w:hAnsi="Times New Roman" w:cs="Times New Roman"/>
        </w:rPr>
        <w:t xml:space="preserve"> </w:t>
      </w:r>
      <w:r w:rsidRPr="00676272">
        <w:rPr>
          <w:rFonts w:ascii="Times New Roman" w:hAnsi="Times New Roman" w:cs="Times New Roman"/>
        </w:rPr>
        <w:t xml:space="preserve">Според приблизителни изчисления на Европейската агенция за околна среда около 13 700 случая на преждевременна смърт през 2013 г. са се дължали на концентрации на фини </w:t>
      </w:r>
      <w:proofErr w:type="spellStart"/>
      <w:r w:rsidRPr="00676272">
        <w:rPr>
          <w:rFonts w:ascii="Times New Roman" w:hAnsi="Times New Roman" w:cs="Times New Roman"/>
        </w:rPr>
        <w:t>прахови</w:t>
      </w:r>
      <w:proofErr w:type="spellEnd"/>
      <w:r w:rsidRPr="00676272">
        <w:rPr>
          <w:rFonts w:ascii="Times New Roman" w:hAnsi="Times New Roman" w:cs="Times New Roman"/>
        </w:rPr>
        <w:t xml:space="preserve"> частици.</w:t>
      </w:r>
      <w:r w:rsidRPr="00676272">
        <w:t xml:space="preserve"> </w:t>
      </w:r>
      <w:r w:rsidRPr="00676272">
        <w:rPr>
          <w:rFonts w:ascii="Times New Roman" w:hAnsi="Times New Roman" w:cs="Times New Roman"/>
        </w:rPr>
        <w:t xml:space="preserve">Свързаните със здравето външни разходи от замърсяването на въздуха в България </w:t>
      </w:r>
      <w:r>
        <w:rPr>
          <w:rFonts w:ascii="Times New Roman" w:hAnsi="Times New Roman" w:cs="Times New Roman"/>
        </w:rPr>
        <w:t xml:space="preserve">възлизат на </w:t>
      </w:r>
      <w:r w:rsidRPr="00676272">
        <w:rPr>
          <w:rFonts w:ascii="Times New Roman" w:hAnsi="Times New Roman" w:cs="Times New Roman"/>
        </w:rPr>
        <w:t>над 3 млрд</w:t>
      </w:r>
      <w:r>
        <w:rPr>
          <w:rFonts w:ascii="Times New Roman" w:hAnsi="Times New Roman" w:cs="Times New Roman"/>
        </w:rPr>
        <w:t>.</w:t>
      </w:r>
      <w:r w:rsidRPr="00676272">
        <w:rPr>
          <w:rFonts w:ascii="Times New Roman" w:hAnsi="Times New Roman" w:cs="Times New Roman"/>
        </w:rPr>
        <w:t xml:space="preserve"> евро годишно</w:t>
      </w:r>
      <w:r>
        <w:rPr>
          <w:rFonts w:ascii="Times New Roman" w:hAnsi="Times New Roman" w:cs="Times New Roman"/>
        </w:rPr>
        <w:t xml:space="preserve">, свързани с 2 млн. </w:t>
      </w:r>
      <w:r w:rsidRPr="00F608BC">
        <w:rPr>
          <w:rFonts w:ascii="Times New Roman" w:hAnsi="Times New Roman" w:cs="Times New Roman"/>
        </w:rPr>
        <w:t xml:space="preserve">загубени работни дни всяка година поради заболяване, свързано със замърсяването на въздуха, </w:t>
      </w:r>
      <w:r>
        <w:rPr>
          <w:rFonts w:ascii="Times New Roman" w:hAnsi="Times New Roman" w:cs="Times New Roman"/>
        </w:rPr>
        <w:t>и</w:t>
      </w:r>
      <w:r w:rsidRPr="00F608BC">
        <w:rPr>
          <w:rFonts w:ascii="Times New Roman" w:hAnsi="Times New Roman" w:cs="Times New Roman"/>
        </w:rPr>
        <w:t xml:space="preserve"> свързаните с тях разход</w:t>
      </w:r>
      <w:r>
        <w:rPr>
          <w:rFonts w:ascii="Times New Roman" w:hAnsi="Times New Roman" w:cs="Times New Roman"/>
        </w:rPr>
        <w:t xml:space="preserve">и за работодателите и </w:t>
      </w:r>
      <w:r w:rsidRPr="00F608BC">
        <w:rPr>
          <w:rFonts w:ascii="Times New Roman" w:hAnsi="Times New Roman" w:cs="Times New Roman"/>
        </w:rPr>
        <w:t xml:space="preserve">системата на здравеопазването, </w:t>
      </w:r>
      <w:r>
        <w:rPr>
          <w:rFonts w:ascii="Times New Roman" w:hAnsi="Times New Roman" w:cs="Times New Roman"/>
        </w:rPr>
        <w:t>както и загубата на реколта в</w:t>
      </w:r>
      <w:r w:rsidRPr="00F608BC">
        <w:rPr>
          <w:rFonts w:ascii="Times New Roman" w:hAnsi="Times New Roman" w:cs="Times New Roman"/>
        </w:rPr>
        <w:t xml:space="preserve"> селскостопанс</w:t>
      </w:r>
      <w:r>
        <w:rPr>
          <w:rFonts w:ascii="Times New Roman" w:hAnsi="Times New Roman" w:cs="Times New Roman"/>
        </w:rPr>
        <w:t>кия сектор</w:t>
      </w:r>
      <w:r>
        <w:rPr>
          <w:rStyle w:val="FootnoteReference"/>
          <w:rFonts w:ascii="Times New Roman" w:hAnsi="Times New Roman"/>
        </w:rPr>
        <w:footnoteReference w:id="133"/>
      </w:r>
      <w:r>
        <w:rPr>
          <w:rFonts w:ascii="Times New Roman" w:hAnsi="Times New Roman" w:cs="Times New Roman"/>
        </w:rPr>
        <w:t>.</w:t>
      </w:r>
      <w:r w:rsidRPr="00F608BC">
        <w:rPr>
          <w:rFonts w:ascii="Times New Roman" w:hAnsi="Times New Roman" w:cs="Times New Roman"/>
        </w:rPr>
        <w:t xml:space="preserve"> </w:t>
      </w:r>
      <w:r>
        <w:rPr>
          <w:rFonts w:ascii="Times New Roman" w:hAnsi="Times New Roman" w:cs="Times New Roman"/>
        </w:rPr>
        <w:t xml:space="preserve">Налице е остра необходимост от предприемане на мерки за ограничаване на емисиите на </w:t>
      </w:r>
      <w:r w:rsidRPr="00F608BC">
        <w:rPr>
          <w:rFonts w:ascii="Times New Roman" w:hAnsi="Times New Roman" w:cs="Times New Roman"/>
        </w:rPr>
        <w:t xml:space="preserve">фини </w:t>
      </w:r>
      <w:proofErr w:type="spellStart"/>
      <w:r w:rsidRPr="00F608BC">
        <w:rPr>
          <w:rFonts w:ascii="Times New Roman" w:hAnsi="Times New Roman" w:cs="Times New Roman"/>
        </w:rPr>
        <w:t>прахови</w:t>
      </w:r>
      <w:proofErr w:type="spellEnd"/>
      <w:r w:rsidRPr="00F608BC">
        <w:rPr>
          <w:rFonts w:ascii="Times New Roman" w:hAnsi="Times New Roman" w:cs="Times New Roman"/>
        </w:rPr>
        <w:t xml:space="preserve"> частици</w:t>
      </w:r>
      <w:r>
        <w:rPr>
          <w:rFonts w:ascii="Times New Roman" w:hAnsi="Times New Roman" w:cs="Times New Roman"/>
        </w:rPr>
        <w:t xml:space="preserve">. Намеренията на правителството за ограничаване на експлоатацията на стари моторни превозни средства (повече от половината МПС в страната са на възраст над 15 г.), посредством </w:t>
      </w:r>
      <w:r>
        <w:rPr>
          <w:rFonts w:ascii="Times New Roman" w:hAnsi="Times New Roman" w:cs="Times New Roman"/>
        </w:rPr>
        <w:lastRenderedPageBreak/>
        <w:t>включване на екологичен компонент при определянето на данъка върху МПС е стъпка в правилната посока, но се отличава с ниско ниво на амбициозност.</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По отношение на управлението на </w:t>
      </w:r>
      <w:r w:rsidRPr="00BE2942">
        <w:rPr>
          <w:rFonts w:ascii="Times New Roman" w:eastAsia="Calibri" w:hAnsi="Times New Roman" w:cs="Times New Roman"/>
          <w:b/>
          <w:color w:val="365F91"/>
          <w:lang w:eastAsia="en-US"/>
        </w:rPr>
        <w:t>отпадъците</w:t>
      </w:r>
      <w:r>
        <w:rPr>
          <w:rFonts w:ascii="Times New Roman" w:hAnsi="Times New Roman" w:cs="Times New Roman"/>
        </w:rPr>
        <w:t xml:space="preserve"> са постигнати значителни резултати. Генерираните битови отпадъци следват тенденция на трайно намаление</w:t>
      </w:r>
      <w:r w:rsidRPr="00634DA0">
        <w:rPr>
          <w:rFonts w:ascii="Times New Roman" w:hAnsi="Times New Roman" w:cs="Times New Roman"/>
        </w:rPr>
        <w:t xml:space="preserve"> </w:t>
      </w:r>
      <w:r>
        <w:rPr>
          <w:rFonts w:ascii="Times New Roman" w:hAnsi="Times New Roman" w:cs="Times New Roman"/>
        </w:rPr>
        <w:t xml:space="preserve">през последните десет години, отбелязвайки кумулативен спад от  </w:t>
      </w:r>
      <w:r w:rsidR="00536B5B">
        <w:rPr>
          <w:rFonts w:ascii="Times New Roman" w:hAnsi="Times New Roman" w:cs="Times New Roman"/>
          <w:lang w:val="en-US"/>
        </w:rPr>
        <w:t>27.4</w:t>
      </w:r>
      <w:r>
        <w:rPr>
          <w:rFonts w:ascii="Times New Roman" w:hAnsi="Times New Roman" w:cs="Times New Roman"/>
        </w:rPr>
        <w:t>% към 201</w:t>
      </w:r>
      <w:r w:rsidR="00536B5B">
        <w:rPr>
          <w:rFonts w:ascii="Times New Roman" w:hAnsi="Times New Roman" w:cs="Times New Roman"/>
          <w:lang w:val="en-US"/>
        </w:rPr>
        <w:t>7</w:t>
      </w:r>
      <w:r>
        <w:rPr>
          <w:rFonts w:ascii="Times New Roman" w:hAnsi="Times New Roman" w:cs="Times New Roman"/>
        </w:rPr>
        <w:t xml:space="preserve"> г. След 2012 г. генерираните битови отпадъци на глава от населението в страната са под средните за ЕС, като през 201</w:t>
      </w:r>
      <w:r w:rsidR="00536B5B">
        <w:rPr>
          <w:rFonts w:ascii="Times New Roman" w:hAnsi="Times New Roman" w:cs="Times New Roman"/>
          <w:lang w:val="en-US"/>
        </w:rPr>
        <w:t>7</w:t>
      </w:r>
      <w:r>
        <w:rPr>
          <w:rFonts w:ascii="Times New Roman" w:hAnsi="Times New Roman" w:cs="Times New Roman"/>
        </w:rPr>
        <w:t xml:space="preserve"> г. изпреварването на общността в стремежа към намаляване на отпадъците достига 1</w:t>
      </w:r>
      <w:r w:rsidR="00536B5B">
        <w:rPr>
          <w:rFonts w:ascii="Times New Roman" w:hAnsi="Times New Roman" w:cs="Times New Roman"/>
          <w:lang w:val="en-US"/>
        </w:rPr>
        <w:t>0</w:t>
      </w:r>
      <w:r>
        <w:rPr>
          <w:rFonts w:ascii="Times New Roman" w:hAnsi="Times New Roman" w:cs="Times New Roman"/>
        </w:rPr>
        <w:t>.</w:t>
      </w:r>
      <w:r w:rsidR="00536B5B">
        <w:rPr>
          <w:rFonts w:ascii="Times New Roman" w:hAnsi="Times New Roman" w:cs="Times New Roman"/>
          <w:lang w:val="en-US"/>
        </w:rPr>
        <w:t>7</w:t>
      </w:r>
      <w:r>
        <w:rPr>
          <w:rFonts w:ascii="Times New Roman" w:hAnsi="Times New Roman" w:cs="Times New Roman"/>
        </w:rPr>
        <w:t>% (4</w:t>
      </w:r>
      <w:r w:rsidR="00536B5B">
        <w:rPr>
          <w:rFonts w:ascii="Times New Roman" w:hAnsi="Times New Roman" w:cs="Times New Roman"/>
          <w:lang w:val="en-US"/>
        </w:rPr>
        <w:t>35</w:t>
      </w:r>
      <w:r>
        <w:rPr>
          <w:rFonts w:ascii="Times New Roman" w:hAnsi="Times New Roman" w:cs="Times New Roman"/>
        </w:rPr>
        <w:t xml:space="preserve"> кг отпадък на глава от населението в България, спрямо 48</w:t>
      </w:r>
      <w:r w:rsidR="00536B5B">
        <w:rPr>
          <w:rFonts w:ascii="Times New Roman" w:hAnsi="Times New Roman" w:cs="Times New Roman"/>
          <w:lang w:val="en-US"/>
        </w:rPr>
        <w:t>7</w:t>
      </w:r>
      <w:r>
        <w:rPr>
          <w:rFonts w:ascii="Times New Roman" w:hAnsi="Times New Roman" w:cs="Times New Roman"/>
        </w:rPr>
        <w:t xml:space="preserve"> кг средно за ЕС). Същевременно, нараства делът на третираните битови отпадъци, достигайки 99.</w:t>
      </w:r>
      <w:r w:rsidR="00536B5B">
        <w:rPr>
          <w:rFonts w:ascii="Times New Roman" w:hAnsi="Times New Roman" w:cs="Times New Roman"/>
          <w:lang w:val="en-US"/>
        </w:rPr>
        <w:t>7</w:t>
      </w:r>
      <w:r>
        <w:rPr>
          <w:rFonts w:ascii="Times New Roman" w:hAnsi="Times New Roman" w:cs="Times New Roman"/>
        </w:rPr>
        <w:t>% през 201</w:t>
      </w:r>
      <w:r w:rsidR="00536B5B">
        <w:rPr>
          <w:rFonts w:ascii="Times New Roman" w:hAnsi="Times New Roman" w:cs="Times New Roman"/>
          <w:lang w:val="en-US"/>
        </w:rPr>
        <w:t>7</w:t>
      </w:r>
      <w:r>
        <w:rPr>
          <w:rFonts w:ascii="Times New Roman" w:hAnsi="Times New Roman" w:cs="Times New Roman"/>
        </w:rPr>
        <w:t xml:space="preserve"> г. (спрямо 9</w:t>
      </w:r>
      <w:r w:rsidR="00536B5B">
        <w:rPr>
          <w:rFonts w:ascii="Times New Roman" w:hAnsi="Times New Roman" w:cs="Times New Roman"/>
          <w:lang w:val="en-US"/>
        </w:rPr>
        <w:t>4.3</w:t>
      </w:r>
      <w:r>
        <w:rPr>
          <w:rFonts w:ascii="Times New Roman" w:hAnsi="Times New Roman" w:cs="Times New Roman"/>
        </w:rPr>
        <w:t>% десет години по-рано) и надвишавайки средните стойности за ЕС (98.</w:t>
      </w:r>
      <w:r w:rsidR="00536B5B">
        <w:rPr>
          <w:rFonts w:ascii="Times New Roman" w:hAnsi="Times New Roman" w:cs="Times New Roman"/>
          <w:lang w:val="en-US"/>
        </w:rPr>
        <w:t>6</w:t>
      </w:r>
      <w:r>
        <w:rPr>
          <w:rFonts w:ascii="Times New Roman" w:hAnsi="Times New Roman" w:cs="Times New Roman"/>
        </w:rPr>
        <w:t xml:space="preserve">%). </w:t>
      </w:r>
      <w:r w:rsidRPr="008713D1">
        <w:rPr>
          <w:rFonts w:ascii="Times New Roman" w:hAnsi="Times New Roman" w:cs="Times New Roman"/>
        </w:rPr>
        <w:t>Относителният дял на обслужваното население от системи за организирано сметосъбиране достига 99.7% през 201</w:t>
      </w:r>
      <w:r w:rsidR="00536B5B">
        <w:rPr>
          <w:rFonts w:ascii="Times New Roman" w:hAnsi="Times New Roman" w:cs="Times New Roman"/>
          <w:lang w:val="en-US"/>
        </w:rPr>
        <w:t>7</w:t>
      </w:r>
      <w:r w:rsidRPr="008713D1">
        <w:rPr>
          <w:rFonts w:ascii="Times New Roman" w:hAnsi="Times New Roman" w:cs="Times New Roman"/>
        </w:rPr>
        <w:t xml:space="preserve"> г., отразявайки увеличение с </w:t>
      </w:r>
      <w:r>
        <w:rPr>
          <w:rFonts w:ascii="Times New Roman" w:hAnsi="Times New Roman" w:cs="Times New Roman"/>
        </w:rPr>
        <w:t>2</w:t>
      </w:r>
      <w:r w:rsidRPr="008713D1">
        <w:rPr>
          <w:rFonts w:ascii="Times New Roman" w:hAnsi="Times New Roman" w:cs="Times New Roman"/>
        </w:rPr>
        <w:t xml:space="preserve"> процентн</w:t>
      </w:r>
      <w:r>
        <w:rPr>
          <w:rFonts w:ascii="Times New Roman" w:hAnsi="Times New Roman" w:cs="Times New Roman"/>
        </w:rPr>
        <w:t>и</w:t>
      </w:r>
      <w:r w:rsidRPr="008713D1">
        <w:rPr>
          <w:rFonts w:ascii="Times New Roman" w:hAnsi="Times New Roman" w:cs="Times New Roman"/>
        </w:rPr>
        <w:t xml:space="preserve"> пункт</w:t>
      </w:r>
      <w:r>
        <w:rPr>
          <w:rFonts w:ascii="Times New Roman" w:hAnsi="Times New Roman" w:cs="Times New Roman"/>
        </w:rPr>
        <w:t>а</w:t>
      </w:r>
      <w:r w:rsidRPr="008713D1">
        <w:rPr>
          <w:rFonts w:ascii="Times New Roman" w:hAnsi="Times New Roman" w:cs="Times New Roman"/>
        </w:rPr>
        <w:t xml:space="preserve"> през периода</w:t>
      </w:r>
      <w:r>
        <w:rPr>
          <w:rFonts w:ascii="Times New Roman" w:hAnsi="Times New Roman" w:cs="Times New Roman"/>
        </w:rPr>
        <w:t xml:space="preserve">, като обхватът на </w:t>
      </w:r>
      <w:r w:rsidRPr="00872124">
        <w:rPr>
          <w:rFonts w:ascii="Times New Roman" w:hAnsi="Times New Roman" w:cs="Times New Roman"/>
        </w:rPr>
        <w:t>системата за управление на отпадъците</w:t>
      </w:r>
      <w:r>
        <w:rPr>
          <w:rFonts w:ascii="Times New Roman" w:hAnsi="Times New Roman" w:cs="Times New Roman"/>
        </w:rPr>
        <w:t xml:space="preserve"> се разширява с над 4</w:t>
      </w:r>
      <w:r w:rsidRPr="00872124">
        <w:rPr>
          <w:rFonts w:ascii="Times New Roman" w:hAnsi="Times New Roman" w:cs="Times New Roman"/>
        </w:rPr>
        <w:t>00 населени места</w:t>
      </w:r>
      <w:r w:rsidRPr="008713D1">
        <w:rPr>
          <w:rFonts w:ascii="Times New Roman" w:hAnsi="Times New Roman" w:cs="Times New Roman"/>
        </w:rPr>
        <w:t>.</w:t>
      </w:r>
      <w:r>
        <w:rPr>
          <w:rFonts w:ascii="Times New Roman" w:hAnsi="Times New Roman" w:cs="Times New Roman"/>
        </w:rPr>
        <w:t xml:space="preserve"> Предизвикателство остава въвеждането на принципа „</w:t>
      </w:r>
      <w:r w:rsidRPr="00E8330D">
        <w:rPr>
          <w:rFonts w:ascii="Times New Roman" w:hAnsi="Times New Roman" w:cs="Times New Roman"/>
          <w:i/>
        </w:rPr>
        <w:t>замърсителя плаща</w:t>
      </w:r>
      <w:r>
        <w:rPr>
          <w:rFonts w:ascii="Times New Roman" w:hAnsi="Times New Roman" w:cs="Times New Roman"/>
        </w:rPr>
        <w:t xml:space="preserve">“. Регламентираната в националното законодателство такса за битови отпадъци е по-скоро доходен данък, а не екологична такса, </w:t>
      </w:r>
      <w:proofErr w:type="spellStart"/>
      <w:r>
        <w:rPr>
          <w:rFonts w:ascii="Times New Roman" w:hAnsi="Times New Roman" w:cs="Times New Roman"/>
        </w:rPr>
        <w:t>т.к</w:t>
      </w:r>
      <w:proofErr w:type="spellEnd"/>
      <w:r>
        <w:rPr>
          <w:rFonts w:ascii="Times New Roman" w:hAnsi="Times New Roman" w:cs="Times New Roman"/>
        </w:rPr>
        <w:t xml:space="preserve">. размерът й се определя от доходен критерий (стойността на имота), без да е обвързана с количеството на генерираните отпадъци, като по този начин не стимулира тяхното намаляване. </w:t>
      </w:r>
    </w:p>
    <w:p w:rsidR="00AE0F90" w:rsidRPr="00BE2942" w:rsidRDefault="00AE0F90" w:rsidP="00AE0F90">
      <w:pPr>
        <w:pStyle w:val="ListParagraph"/>
        <w:keepNext/>
        <w:spacing w:after="0" w:line="269" w:lineRule="auto"/>
        <w:ind w:left="4678" w:firstLine="0"/>
        <w:contextualSpacing w:val="0"/>
        <w:jc w:val="both"/>
        <w:rPr>
          <w:rFonts w:ascii="Times New Roman" w:hAnsi="Times New Roman" w:cs="Times New Roman"/>
          <w:b/>
          <w:sz w:val="18"/>
          <w:szCs w:val="18"/>
        </w:rPr>
      </w:pPr>
      <w:r w:rsidRPr="00DC4A4B">
        <w:rPr>
          <w:rFonts w:ascii="Times New Roman" w:hAnsi="Times New Roman" w:cs="Times New Roman"/>
          <w:b/>
          <w:sz w:val="18"/>
          <w:szCs w:val="18"/>
        </w:rPr>
        <w:t xml:space="preserve">Графика </w:t>
      </w:r>
      <w:r w:rsidR="00227FC6">
        <w:rPr>
          <w:rFonts w:ascii="Times New Roman" w:hAnsi="Times New Roman" w:cs="Times New Roman"/>
          <w:b/>
          <w:sz w:val="18"/>
          <w:szCs w:val="18"/>
        </w:rPr>
        <w:t xml:space="preserve">17. </w:t>
      </w:r>
      <w:r>
        <w:rPr>
          <w:rFonts w:ascii="Times New Roman" w:hAnsi="Times New Roman" w:cs="Times New Roman"/>
          <w:b/>
          <w:sz w:val="18"/>
          <w:szCs w:val="18"/>
        </w:rPr>
        <w:t>Рециклиране на битови отпадъци в България и ЕС, % от общо третирани отпадъци</w:t>
      </w:r>
    </w:p>
    <w:p w:rsidR="00AE0F90" w:rsidRDefault="0032203D"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w:drawing>
          <wp:anchor distT="0" distB="0" distL="114300" distR="114300" simplePos="0" relativeHeight="251650560" behindDoc="0" locked="0" layoutInCell="1" allowOverlap="1" wp14:anchorId="2115787B" wp14:editId="4FBBC82C">
            <wp:simplePos x="0" y="0"/>
            <wp:positionH relativeFrom="column">
              <wp:posOffset>2966085</wp:posOffset>
            </wp:positionH>
            <wp:positionV relativeFrom="paragraph">
              <wp:posOffset>29845</wp:posOffset>
            </wp:positionV>
            <wp:extent cx="3147695" cy="1892300"/>
            <wp:effectExtent l="0" t="0" r="0" b="0"/>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147695" cy="1892300"/>
                    </a:xfrm>
                    <a:prstGeom prst="rect">
                      <a:avLst/>
                    </a:prstGeom>
                    <a:noFill/>
                  </pic:spPr>
                </pic:pic>
              </a:graphicData>
            </a:graphic>
            <wp14:sizeRelH relativeFrom="page">
              <wp14:pctWidth>0</wp14:pctWidth>
            </wp14:sizeRelH>
            <wp14:sizeRelV relativeFrom="page">
              <wp14:pctHeight>0</wp14:pctHeight>
            </wp14:sizeRelV>
          </wp:anchor>
        </w:drawing>
      </w:r>
      <w:r w:rsidR="00AE0F90">
        <w:rPr>
          <w:rFonts w:ascii="Times New Roman" w:hAnsi="Times New Roman" w:cs="Times New Roman"/>
        </w:rPr>
        <w:t xml:space="preserve">Предизвикателство остава намаляването на дела на депонираните отпадъци. След присъединяването на страната към ЕС относителният дял на депонираните отпадъци намалява </w:t>
      </w:r>
      <w:r w:rsidR="00BE7192">
        <w:rPr>
          <w:rFonts w:ascii="Times New Roman" w:hAnsi="Times New Roman" w:cs="Times New Roman"/>
        </w:rPr>
        <w:t xml:space="preserve">значително </w:t>
      </w:r>
      <w:r w:rsidR="00AE0F90">
        <w:rPr>
          <w:rFonts w:ascii="Times New Roman" w:hAnsi="Times New Roman" w:cs="Times New Roman"/>
        </w:rPr>
        <w:t xml:space="preserve">със </w:t>
      </w:r>
      <w:r w:rsidR="001D3479">
        <w:rPr>
          <w:rFonts w:ascii="Times New Roman" w:hAnsi="Times New Roman" w:cs="Times New Roman"/>
        </w:rPr>
        <w:t>9</w:t>
      </w:r>
      <w:r w:rsidR="00AE0F90">
        <w:rPr>
          <w:rFonts w:ascii="Times New Roman" w:hAnsi="Times New Roman" w:cs="Times New Roman"/>
        </w:rPr>
        <w:t>.</w:t>
      </w:r>
      <w:r w:rsidR="001D3479">
        <w:rPr>
          <w:rFonts w:ascii="Times New Roman" w:hAnsi="Times New Roman" w:cs="Times New Roman"/>
        </w:rPr>
        <w:t>6</w:t>
      </w:r>
      <w:r w:rsidR="00AE0F90">
        <w:rPr>
          <w:rFonts w:ascii="Times New Roman" w:hAnsi="Times New Roman" w:cs="Times New Roman"/>
        </w:rPr>
        <w:t xml:space="preserve"> процентни пункта, но достигнатото ниво през 201</w:t>
      </w:r>
      <w:r w:rsidR="00BE7192">
        <w:rPr>
          <w:rFonts w:ascii="Times New Roman" w:hAnsi="Times New Roman" w:cs="Times New Roman"/>
          <w:lang w:val="en-US"/>
        </w:rPr>
        <w:t>7</w:t>
      </w:r>
      <w:r w:rsidR="00AE0F90">
        <w:rPr>
          <w:rFonts w:ascii="Times New Roman" w:hAnsi="Times New Roman" w:cs="Times New Roman"/>
        </w:rPr>
        <w:t xml:space="preserve"> г. (6</w:t>
      </w:r>
      <w:r w:rsidR="00BE7192">
        <w:rPr>
          <w:rFonts w:ascii="Times New Roman" w:hAnsi="Times New Roman" w:cs="Times New Roman"/>
          <w:lang w:val="en-US"/>
        </w:rPr>
        <w:t>1</w:t>
      </w:r>
      <w:r w:rsidR="00AE0F90">
        <w:rPr>
          <w:rFonts w:ascii="Times New Roman" w:hAnsi="Times New Roman" w:cs="Times New Roman"/>
        </w:rPr>
        <w:t>.</w:t>
      </w:r>
      <w:r w:rsidR="00BE7192">
        <w:rPr>
          <w:rFonts w:ascii="Times New Roman" w:hAnsi="Times New Roman" w:cs="Times New Roman"/>
          <w:lang w:val="en-US"/>
        </w:rPr>
        <w:t>8</w:t>
      </w:r>
      <w:r w:rsidR="00AE0F90">
        <w:rPr>
          <w:rFonts w:ascii="Times New Roman" w:hAnsi="Times New Roman" w:cs="Times New Roman"/>
        </w:rPr>
        <w:t xml:space="preserve">%) остава </w:t>
      </w:r>
      <w:r w:rsidR="00BE7192">
        <w:rPr>
          <w:rFonts w:ascii="Times New Roman" w:hAnsi="Times New Roman" w:cs="Times New Roman"/>
        </w:rPr>
        <w:t xml:space="preserve">повече от </w:t>
      </w:r>
      <w:r w:rsidR="00AE0F90">
        <w:rPr>
          <w:rFonts w:ascii="Times New Roman" w:hAnsi="Times New Roman" w:cs="Times New Roman"/>
        </w:rPr>
        <w:t>2.5 пъти по-високо от средното за ЕС. Равнището на рециклиране на битовите отпадъци остава ниско, въпреки ясна тенденция на нарастването му през последните десет години. През 201</w:t>
      </w:r>
      <w:r w:rsidR="001D3479">
        <w:rPr>
          <w:rFonts w:ascii="Times New Roman" w:hAnsi="Times New Roman" w:cs="Times New Roman"/>
        </w:rPr>
        <w:t>7</w:t>
      </w:r>
      <w:r w:rsidR="00AE0F90">
        <w:rPr>
          <w:rFonts w:ascii="Times New Roman" w:hAnsi="Times New Roman" w:cs="Times New Roman"/>
        </w:rPr>
        <w:t xml:space="preserve"> г. показателят достига 3</w:t>
      </w:r>
      <w:r w:rsidR="001D3479">
        <w:rPr>
          <w:rFonts w:ascii="Times New Roman" w:hAnsi="Times New Roman" w:cs="Times New Roman"/>
        </w:rPr>
        <w:t>4</w:t>
      </w:r>
      <w:r w:rsidR="00AE0F90">
        <w:rPr>
          <w:rFonts w:ascii="Times New Roman" w:hAnsi="Times New Roman" w:cs="Times New Roman"/>
        </w:rPr>
        <w:t>.</w:t>
      </w:r>
      <w:r w:rsidR="001D3479">
        <w:rPr>
          <w:rFonts w:ascii="Times New Roman" w:hAnsi="Times New Roman" w:cs="Times New Roman"/>
        </w:rPr>
        <w:t>6</w:t>
      </w:r>
      <w:r w:rsidR="00AE0F90">
        <w:rPr>
          <w:rFonts w:ascii="Times New Roman" w:hAnsi="Times New Roman" w:cs="Times New Roman"/>
        </w:rPr>
        <w:t>%, все още изоставайки значително от средните за ЕС стойности (46.</w:t>
      </w:r>
      <w:r w:rsidR="001D3479">
        <w:rPr>
          <w:rFonts w:ascii="Times New Roman" w:hAnsi="Times New Roman" w:cs="Times New Roman"/>
        </w:rPr>
        <w:t>4</w:t>
      </w:r>
      <w:r w:rsidR="00AE0F90">
        <w:rPr>
          <w:rFonts w:ascii="Times New Roman" w:hAnsi="Times New Roman" w:cs="Times New Roman"/>
        </w:rPr>
        <w:t>%). Налице е необходимост от значително интензифициране на усилията за постигане на целите на политиката за 50% дял на рециклирането към 2020 г. Според ЕК, ц</w:t>
      </w:r>
      <w:r w:rsidR="00AE0F90" w:rsidRPr="00597B45">
        <w:rPr>
          <w:rFonts w:ascii="Times New Roman" w:hAnsi="Times New Roman" w:cs="Times New Roman"/>
        </w:rPr>
        <w:t>ялостното изпълнение на съществуващото законодателство относно отпадъците би могло да създаде повече от 14 000 работни места в България и да увеличи годишния оборот на сектора на отпадъците с над 1</w:t>
      </w:r>
      <w:r w:rsidR="00AE0F90">
        <w:rPr>
          <w:rFonts w:ascii="Times New Roman" w:hAnsi="Times New Roman" w:cs="Times New Roman"/>
        </w:rPr>
        <w:t>.</w:t>
      </w:r>
      <w:r w:rsidR="00AE0F90" w:rsidRPr="00597B45">
        <w:rPr>
          <w:rFonts w:ascii="Times New Roman" w:hAnsi="Times New Roman" w:cs="Times New Roman"/>
        </w:rPr>
        <w:t>5 млрд</w:t>
      </w:r>
      <w:r w:rsidR="00AE0F90">
        <w:rPr>
          <w:rFonts w:ascii="Times New Roman" w:hAnsi="Times New Roman" w:cs="Times New Roman"/>
        </w:rPr>
        <w:t>.</w:t>
      </w:r>
      <w:r w:rsidR="00AE0F90" w:rsidRPr="00597B45">
        <w:rPr>
          <w:rFonts w:ascii="Times New Roman" w:hAnsi="Times New Roman" w:cs="Times New Roman"/>
        </w:rPr>
        <w:t xml:space="preserve"> евро</w:t>
      </w:r>
      <w:r w:rsidR="00AE0F90">
        <w:rPr>
          <w:rFonts w:ascii="Times New Roman" w:hAnsi="Times New Roman" w:cs="Times New Roman"/>
        </w:rPr>
        <w:t>, а п</w:t>
      </w:r>
      <w:r w:rsidR="00AE0F90" w:rsidRPr="00597B45">
        <w:rPr>
          <w:rFonts w:ascii="Times New Roman" w:hAnsi="Times New Roman" w:cs="Times New Roman"/>
        </w:rPr>
        <w:t>риближаването към целите, залегнали в законодателството и политиките в областта на отпадъците, може да създаде 16 500 работни места и да увеличи годишния оборот на сектора с над 1</w:t>
      </w:r>
      <w:r w:rsidR="00AE0F90">
        <w:rPr>
          <w:rFonts w:ascii="Times New Roman" w:hAnsi="Times New Roman" w:cs="Times New Roman"/>
        </w:rPr>
        <w:t>.</w:t>
      </w:r>
      <w:r w:rsidR="00AE0F90" w:rsidRPr="00597B45">
        <w:rPr>
          <w:rFonts w:ascii="Times New Roman" w:hAnsi="Times New Roman" w:cs="Times New Roman"/>
        </w:rPr>
        <w:t>7 млрд</w:t>
      </w:r>
      <w:r w:rsidR="00AE0F90">
        <w:rPr>
          <w:rFonts w:ascii="Times New Roman" w:hAnsi="Times New Roman" w:cs="Times New Roman"/>
        </w:rPr>
        <w:t>.</w:t>
      </w:r>
      <w:r w:rsidR="00AE0F90" w:rsidRPr="00597B45">
        <w:rPr>
          <w:rFonts w:ascii="Times New Roman" w:hAnsi="Times New Roman" w:cs="Times New Roman"/>
        </w:rPr>
        <w:t xml:space="preserve"> евро</w:t>
      </w:r>
      <w:r w:rsidR="00AE0F90">
        <w:rPr>
          <w:rStyle w:val="FootnoteReference"/>
          <w:rFonts w:ascii="Times New Roman" w:hAnsi="Times New Roman"/>
        </w:rPr>
        <w:footnoteReference w:id="134"/>
      </w:r>
      <w:r w:rsidR="00AE0F90">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000640">
        <w:rPr>
          <w:rFonts w:ascii="Times New Roman" w:hAnsi="Times New Roman" w:cs="Times New Roman"/>
        </w:rPr>
        <w:t xml:space="preserve">Опазването на </w:t>
      </w:r>
      <w:r w:rsidRPr="00000640">
        <w:rPr>
          <w:rFonts w:ascii="Times New Roman" w:eastAsia="Calibri" w:hAnsi="Times New Roman" w:cs="Times New Roman"/>
          <w:b/>
          <w:color w:val="365F91"/>
          <w:lang w:eastAsia="en-US"/>
        </w:rPr>
        <w:t>биологичното разнообразие</w:t>
      </w:r>
      <w:r w:rsidRPr="00000640">
        <w:rPr>
          <w:rFonts w:ascii="Times New Roman" w:hAnsi="Times New Roman" w:cs="Times New Roman"/>
        </w:rPr>
        <w:t xml:space="preserve"> се осъществява чрез създа</w:t>
      </w:r>
      <w:r>
        <w:rPr>
          <w:rFonts w:ascii="Times New Roman" w:hAnsi="Times New Roman" w:cs="Times New Roman"/>
        </w:rPr>
        <w:t>дената</w:t>
      </w:r>
      <w:r w:rsidRPr="00000640">
        <w:rPr>
          <w:rFonts w:ascii="Times New Roman" w:hAnsi="Times New Roman" w:cs="Times New Roman"/>
        </w:rPr>
        <w:t xml:space="preserve"> Национална екологична мрежа, включва</w:t>
      </w:r>
      <w:r>
        <w:rPr>
          <w:rFonts w:ascii="Times New Roman" w:hAnsi="Times New Roman" w:cs="Times New Roman"/>
        </w:rPr>
        <w:t>ща</w:t>
      </w:r>
      <w:r w:rsidRPr="00000640">
        <w:rPr>
          <w:rFonts w:ascii="Times New Roman" w:hAnsi="Times New Roman" w:cs="Times New Roman"/>
        </w:rPr>
        <w:t xml:space="preserve"> защитени зони, част от европейската екологична мрежа “</w:t>
      </w:r>
      <w:r w:rsidRPr="005931C8">
        <w:rPr>
          <w:rFonts w:ascii="Times New Roman" w:hAnsi="Times New Roman" w:cs="Times New Roman"/>
          <w:i/>
        </w:rPr>
        <w:t>Натура 2000</w:t>
      </w:r>
      <w:r w:rsidRPr="00000640">
        <w:rPr>
          <w:rFonts w:ascii="Times New Roman" w:hAnsi="Times New Roman" w:cs="Times New Roman"/>
        </w:rPr>
        <w:t>”</w:t>
      </w:r>
      <w:r>
        <w:rPr>
          <w:rFonts w:ascii="Times New Roman" w:hAnsi="Times New Roman" w:cs="Times New Roman"/>
        </w:rPr>
        <w:t>,</w:t>
      </w:r>
      <w:r w:rsidRPr="00000640">
        <w:rPr>
          <w:rFonts w:ascii="Times New Roman" w:hAnsi="Times New Roman" w:cs="Times New Roman"/>
        </w:rPr>
        <w:t xml:space="preserve"> и защитени територии. В края на 2016 г.</w:t>
      </w:r>
      <w:r>
        <w:rPr>
          <w:rStyle w:val="FootnoteReference"/>
          <w:rFonts w:ascii="Times New Roman" w:hAnsi="Times New Roman"/>
        </w:rPr>
        <w:footnoteReference w:id="135"/>
      </w:r>
      <w:r w:rsidRPr="00000640">
        <w:rPr>
          <w:rFonts w:ascii="Times New Roman" w:hAnsi="Times New Roman" w:cs="Times New Roman"/>
        </w:rPr>
        <w:t xml:space="preserve"> броят на определените защитени зони, съгласно Директивата за птиците  в България е 119 с площ 2</w:t>
      </w:r>
      <w:r>
        <w:rPr>
          <w:rFonts w:ascii="Times New Roman" w:hAnsi="Times New Roman" w:cs="Times New Roman"/>
        </w:rPr>
        <w:t>.</w:t>
      </w:r>
      <w:r w:rsidRPr="00000640">
        <w:rPr>
          <w:rFonts w:ascii="Times New Roman" w:hAnsi="Times New Roman" w:cs="Times New Roman"/>
        </w:rPr>
        <w:t>5</w:t>
      </w:r>
      <w:r>
        <w:rPr>
          <w:rFonts w:ascii="Times New Roman" w:hAnsi="Times New Roman" w:cs="Times New Roman"/>
        </w:rPr>
        <w:t xml:space="preserve"> млн.</w:t>
      </w:r>
      <w:r w:rsidRPr="00000640">
        <w:rPr>
          <w:rFonts w:ascii="Times New Roman" w:hAnsi="Times New Roman" w:cs="Times New Roman"/>
        </w:rPr>
        <w:t xml:space="preserve"> </w:t>
      </w:r>
      <w:r>
        <w:rPr>
          <w:rFonts w:ascii="Times New Roman" w:hAnsi="Times New Roman" w:cs="Times New Roman"/>
        </w:rPr>
        <w:t>х</w:t>
      </w:r>
      <w:r w:rsidRPr="00000640">
        <w:rPr>
          <w:rFonts w:ascii="Times New Roman" w:hAnsi="Times New Roman" w:cs="Times New Roman"/>
        </w:rPr>
        <w:t>а (22.7% от общата територия на страната), а броят на определените защитени зони съгласно Директивата за местообитанията е 233 с площ 3</w:t>
      </w:r>
      <w:r>
        <w:rPr>
          <w:rFonts w:ascii="Times New Roman" w:hAnsi="Times New Roman" w:cs="Times New Roman"/>
        </w:rPr>
        <w:t>.</w:t>
      </w:r>
      <w:r w:rsidRPr="00000640">
        <w:rPr>
          <w:rFonts w:ascii="Times New Roman" w:hAnsi="Times New Roman" w:cs="Times New Roman"/>
        </w:rPr>
        <w:t>3</w:t>
      </w:r>
      <w:r>
        <w:rPr>
          <w:rFonts w:ascii="Times New Roman" w:hAnsi="Times New Roman" w:cs="Times New Roman"/>
        </w:rPr>
        <w:t xml:space="preserve"> млн. ха</w:t>
      </w:r>
      <w:r w:rsidRPr="00000640">
        <w:rPr>
          <w:rFonts w:ascii="Times New Roman" w:hAnsi="Times New Roman" w:cs="Times New Roman"/>
        </w:rPr>
        <w:t xml:space="preserve"> (30% от общата територия на страната). Защитените зони включват общо 282</w:t>
      </w:r>
      <w:r>
        <w:rPr>
          <w:rFonts w:ascii="Times New Roman" w:hAnsi="Times New Roman" w:cs="Times New Roman"/>
        </w:rPr>
        <w:t xml:space="preserve"> хил. ха</w:t>
      </w:r>
      <w:r w:rsidRPr="00000640">
        <w:rPr>
          <w:rFonts w:ascii="Times New Roman" w:hAnsi="Times New Roman" w:cs="Times New Roman"/>
        </w:rPr>
        <w:t xml:space="preserve"> морски пространства. Общият брой на защитените зони </w:t>
      </w:r>
      <w:r>
        <w:rPr>
          <w:rFonts w:ascii="Times New Roman" w:hAnsi="Times New Roman" w:cs="Times New Roman"/>
        </w:rPr>
        <w:t>в</w:t>
      </w:r>
      <w:r w:rsidRPr="00000640">
        <w:rPr>
          <w:rFonts w:ascii="Times New Roman" w:hAnsi="Times New Roman" w:cs="Times New Roman"/>
        </w:rPr>
        <w:t xml:space="preserve"> мрежата “</w:t>
      </w:r>
      <w:r w:rsidRPr="005931C8">
        <w:rPr>
          <w:rFonts w:ascii="Times New Roman" w:hAnsi="Times New Roman" w:cs="Times New Roman"/>
          <w:i/>
        </w:rPr>
        <w:t>Натура 2000</w:t>
      </w:r>
      <w:r w:rsidRPr="00000640">
        <w:rPr>
          <w:rFonts w:ascii="Times New Roman" w:hAnsi="Times New Roman" w:cs="Times New Roman"/>
        </w:rPr>
        <w:t>”</w:t>
      </w:r>
      <w:r>
        <w:rPr>
          <w:rFonts w:ascii="Times New Roman" w:hAnsi="Times New Roman" w:cs="Times New Roman"/>
        </w:rPr>
        <w:t xml:space="preserve"> е 339 </w:t>
      </w:r>
      <w:r w:rsidRPr="00000640">
        <w:rPr>
          <w:rFonts w:ascii="Times New Roman" w:hAnsi="Times New Roman" w:cs="Times New Roman"/>
        </w:rPr>
        <w:t>(</w:t>
      </w:r>
      <w:proofErr w:type="spellStart"/>
      <w:r w:rsidRPr="00000640">
        <w:rPr>
          <w:rFonts w:ascii="Times New Roman" w:hAnsi="Times New Roman" w:cs="Times New Roman"/>
        </w:rPr>
        <w:t>т.к</w:t>
      </w:r>
      <w:proofErr w:type="spellEnd"/>
      <w:r w:rsidRPr="00000640">
        <w:rPr>
          <w:rFonts w:ascii="Times New Roman" w:hAnsi="Times New Roman" w:cs="Times New Roman"/>
        </w:rPr>
        <w:t>. 13 са с обща граница по двете директиви</w:t>
      </w:r>
      <w:r>
        <w:rPr>
          <w:rFonts w:ascii="Times New Roman" w:hAnsi="Times New Roman" w:cs="Times New Roman"/>
        </w:rPr>
        <w:t>)</w:t>
      </w:r>
      <w:r w:rsidRPr="00000640">
        <w:rPr>
          <w:rFonts w:ascii="Times New Roman" w:hAnsi="Times New Roman" w:cs="Times New Roman"/>
        </w:rPr>
        <w:t>, покриващи общо 34.4% от територията на страната</w:t>
      </w:r>
      <w:r>
        <w:rPr>
          <w:rFonts w:ascii="Times New Roman" w:hAnsi="Times New Roman" w:cs="Times New Roman"/>
        </w:rPr>
        <w:t>, което предопределя на страната 3-то място в ЕС, след Словения и Хърватска</w:t>
      </w:r>
      <w:r w:rsidRPr="00000640">
        <w:rPr>
          <w:rFonts w:ascii="Times New Roman" w:hAnsi="Times New Roman" w:cs="Times New Roman"/>
        </w:rPr>
        <w:t>.</w:t>
      </w:r>
      <w:r>
        <w:rPr>
          <w:rFonts w:ascii="Times New Roman" w:hAnsi="Times New Roman" w:cs="Times New Roman"/>
        </w:rPr>
        <w:t xml:space="preserve"> </w:t>
      </w:r>
      <w:r w:rsidRPr="00000640">
        <w:rPr>
          <w:rFonts w:ascii="Times New Roman" w:hAnsi="Times New Roman" w:cs="Times New Roman"/>
        </w:rPr>
        <w:t>Индексът на</w:t>
      </w:r>
      <w:r>
        <w:rPr>
          <w:rFonts w:ascii="Times New Roman" w:hAnsi="Times New Roman" w:cs="Times New Roman"/>
        </w:rPr>
        <w:t xml:space="preserve"> </w:t>
      </w:r>
      <w:r w:rsidRPr="00000640">
        <w:rPr>
          <w:rFonts w:ascii="Times New Roman" w:hAnsi="Times New Roman" w:cs="Times New Roman"/>
        </w:rPr>
        <w:t>достатъчност</w:t>
      </w:r>
      <w:r>
        <w:rPr>
          <w:rFonts w:ascii="Times New Roman" w:hAnsi="Times New Roman" w:cs="Times New Roman"/>
        </w:rPr>
        <w:t xml:space="preserve"> (п</w:t>
      </w:r>
      <w:r w:rsidRPr="00EC0134">
        <w:rPr>
          <w:rFonts w:ascii="Times New Roman" w:hAnsi="Times New Roman" w:cs="Times New Roman"/>
        </w:rPr>
        <w:t>оказва</w:t>
      </w:r>
      <w:r>
        <w:rPr>
          <w:rFonts w:ascii="Times New Roman" w:hAnsi="Times New Roman" w:cs="Times New Roman"/>
        </w:rPr>
        <w:t>щ</w:t>
      </w:r>
      <w:r w:rsidRPr="00EC0134">
        <w:rPr>
          <w:rFonts w:ascii="Times New Roman" w:hAnsi="Times New Roman" w:cs="Times New Roman"/>
        </w:rPr>
        <w:t xml:space="preserve"> оценката на ЕК колко близо е държавата членка до целта да има достатъчно предложени зони за опазване на местообитанията и </w:t>
      </w:r>
      <w:r w:rsidRPr="00EC0134">
        <w:rPr>
          <w:rFonts w:ascii="Times New Roman" w:hAnsi="Times New Roman" w:cs="Times New Roman"/>
        </w:rPr>
        <w:lastRenderedPageBreak/>
        <w:t>видовете от интерес на общността</w:t>
      </w:r>
      <w:r>
        <w:rPr>
          <w:rFonts w:ascii="Times New Roman" w:hAnsi="Times New Roman" w:cs="Times New Roman"/>
        </w:rPr>
        <w:t>)</w:t>
      </w:r>
      <w:r w:rsidRPr="00EC0134">
        <w:rPr>
          <w:rFonts w:ascii="Times New Roman" w:hAnsi="Times New Roman" w:cs="Times New Roman"/>
        </w:rPr>
        <w:t xml:space="preserve"> </w:t>
      </w:r>
      <w:r w:rsidRPr="00000640">
        <w:rPr>
          <w:rFonts w:ascii="Times New Roman" w:hAnsi="Times New Roman" w:cs="Times New Roman"/>
        </w:rPr>
        <w:t>на мрежата „</w:t>
      </w:r>
      <w:r w:rsidRPr="005931C8">
        <w:rPr>
          <w:rFonts w:ascii="Times New Roman" w:hAnsi="Times New Roman" w:cs="Times New Roman"/>
          <w:i/>
        </w:rPr>
        <w:t>Натура 2000</w:t>
      </w:r>
      <w:r w:rsidRPr="00000640">
        <w:rPr>
          <w:rFonts w:ascii="Times New Roman" w:hAnsi="Times New Roman" w:cs="Times New Roman"/>
        </w:rPr>
        <w:t>“ се доближава до 100%</w:t>
      </w:r>
      <w:r>
        <w:rPr>
          <w:rFonts w:ascii="Times New Roman" w:hAnsi="Times New Roman" w:cs="Times New Roman"/>
        </w:rPr>
        <w:t>.</w:t>
      </w:r>
      <w:r w:rsidRPr="00452995">
        <w:rPr>
          <w:rFonts w:ascii="Times New Roman" w:hAnsi="Times New Roman" w:cs="Times New Roman"/>
        </w:rPr>
        <w:t xml:space="preserve"> </w:t>
      </w:r>
      <w:r>
        <w:rPr>
          <w:rFonts w:ascii="Times New Roman" w:hAnsi="Times New Roman" w:cs="Times New Roman"/>
        </w:rPr>
        <w:t>През разглеждания период се увеличават и</w:t>
      </w:r>
      <w:r w:rsidRPr="00EC0134">
        <w:rPr>
          <w:rFonts w:ascii="Times New Roman" w:hAnsi="Times New Roman" w:cs="Times New Roman"/>
        </w:rPr>
        <w:t xml:space="preserve"> защитените територии</w:t>
      </w:r>
      <w:r>
        <w:rPr>
          <w:rFonts w:ascii="Times New Roman" w:hAnsi="Times New Roman" w:cs="Times New Roman"/>
        </w:rPr>
        <w:t xml:space="preserve"> – в </w:t>
      </w:r>
      <w:r w:rsidRPr="00EC0134">
        <w:rPr>
          <w:rFonts w:ascii="Times New Roman" w:hAnsi="Times New Roman" w:cs="Times New Roman"/>
        </w:rPr>
        <w:t>края</w:t>
      </w:r>
      <w:r>
        <w:rPr>
          <w:rFonts w:ascii="Times New Roman" w:hAnsi="Times New Roman" w:cs="Times New Roman"/>
        </w:rPr>
        <w:t xml:space="preserve"> </w:t>
      </w:r>
      <w:r w:rsidRPr="00EC0134">
        <w:rPr>
          <w:rFonts w:ascii="Times New Roman" w:hAnsi="Times New Roman" w:cs="Times New Roman"/>
        </w:rPr>
        <w:t xml:space="preserve">на 2016 г. броят </w:t>
      </w:r>
      <w:r>
        <w:rPr>
          <w:rFonts w:ascii="Times New Roman" w:hAnsi="Times New Roman" w:cs="Times New Roman"/>
        </w:rPr>
        <w:t>им</w:t>
      </w:r>
      <w:r w:rsidRPr="00EC0134">
        <w:rPr>
          <w:rFonts w:ascii="Times New Roman" w:hAnsi="Times New Roman" w:cs="Times New Roman"/>
        </w:rPr>
        <w:t xml:space="preserve"> 1 013 с обща площ 584 </w:t>
      </w:r>
      <w:r>
        <w:rPr>
          <w:rFonts w:ascii="Times New Roman" w:hAnsi="Times New Roman" w:cs="Times New Roman"/>
        </w:rPr>
        <w:t>хил. ха (</w:t>
      </w:r>
      <w:r w:rsidRPr="00EC0134">
        <w:rPr>
          <w:rFonts w:ascii="Times New Roman" w:hAnsi="Times New Roman" w:cs="Times New Roman"/>
        </w:rPr>
        <w:t>5.27 % от територията на страната</w:t>
      </w:r>
      <w:r>
        <w:rPr>
          <w:rFonts w:ascii="Times New Roman" w:hAnsi="Times New Roman" w:cs="Times New Roman"/>
        </w:rPr>
        <w:t>)</w:t>
      </w:r>
      <w:r w:rsidR="00BF19EA">
        <w:rPr>
          <w:rStyle w:val="FootnoteReference"/>
          <w:rFonts w:ascii="Times New Roman" w:hAnsi="Times New Roman" w:cs="Times New Roman"/>
        </w:rPr>
        <w:footnoteReference w:id="136"/>
      </w:r>
      <w:r w:rsidRPr="00EC0134">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EC0134">
        <w:rPr>
          <w:rFonts w:ascii="Times New Roman" w:hAnsi="Times New Roman" w:cs="Times New Roman"/>
        </w:rPr>
        <w:t>Във връзка с ангажиментите на България за разработване и прилагане на мерки, с които да се гарантира дългосрочното опазване, а където е необходимо и възстановяване на най-ценните горски природни местообитания и биологичното разнообразие в тях, в периода 2008-2016 г. са изготвени общо 201 оценки за съвместимост на горскостопанските планове с режимите и условията на защитените зони за територията на цялата страна.</w:t>
      </w:r>
      <w:r w:rsidRPr="002D0BEA">
        <w:t xml:space="preserve"> </w:t>
      </w:r>
      <w:r w:rsidRPr="002D0BEA">
        <w:rPr>
          <w:rFonts w:ascii="Times New Roman" w:hAnsi="Times New Roman" w:cs="Times New Roman"/>
        </w:rPr>
        <w:t>Основните рискове за биологичното разнообразие в България са свързани със загубата на сухоземни и водни местообитания — най-вече в резултат на бурното развитие на градовете и инфраструктурата през последните 15 години (включително в защитени зони по „</w:t>
      </w:r>
      <w:r w:rsidRPr="005931C8">
        <w:rPr>
          <w:rFonts w:ascii="Times New Roman" w:hAnsi="Times New Roman" w:cs="Times New Roman"/>
          <w:i/>
        </w:rPr>
        <w:t>Натура 2000</w:t>
      </w:r>
      <w:r w:rsidRPr="002D0BEA">
        <w:rPr>
          <w:rFonts w:ascii="Times New Roman" w:hAnsi="Times New Roman" w:cs="Times New Roman"/>
        </w:rPr>
        <w:t xml:space="preserve">“), с повишените равнища на замърсяване на въздуха, водата и почвата, както и </w:t>
      </w:r>
      <w:r>
        <w:rPr>
          <w:rFonts w:ascii="Times New Roman" w:hAnsi="Times New Roman" w:cs="Times New Roman"/>
        </w:rPr>
        <w:t xml:space="preserve">с </w:t>
      </w:r>
      <w:r w:rsidRPr="002D0BEA">
        <w:rPr>
          <w:rFonts w:ascii="Times New Roman" w:hAnsi="Times New Roman" w:cs="Times New Roman"/>
        </w:rPr>
        <w:t>пряката и прекомерна експлоатация на видовете от икономическо значение. Слабостите в тази област включват лошо прилагане на природозащитното законодателство и другите разпоредби за опазване на околната среда, недостатъчното интегриране на политиката в областта на природата и биологичното разнообразие в други секторни политики, неефективното управление и администриране на защитените територии, слабата администрация, липсата на подходящи планове за управление, природозащитни цели и мерки, недостатъчното финансиране или неефективното усвояване на наличните средства (т.е. финансирането невинаги се насочва към приоритетните области) и липсата на правоприлагане</w:t>
      </w:r>
      <w:r>
        <w:rPr>
          <w:rStyle w:val="FootnoteReference"/>
          <w:rFonts w:ascii="Times New Roman" w:hAnsi="Times New Roman"/>
        </w:rPr>
        <w:footnoteReference w:id="137"/>
      </w:r>
      <w:r w:rsidRPr="002D0BEA">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8C7451">
        <w:rPr>
          <w:rFonts w:ascii="Times New Roman" w:hAnsi="Times New Roman" w:cs="Times New Roman"/>
        </w:rPr>
        <w:t xml:space="preserve">България изостава значително в процеса по </w:t>
      </w:r>
      <w:r w:rsidRPr="00554734">
        <w:rPr>
          <w:rFonts w:ascii="Times New Roman" w:eastAsia="Calibri" w:hAnsi="Times New Roman" w:cs="Times New Roman"/>
          <w:b/>
          <w:color w:val="365F91"/>
          <w:lang w:eastAsia="en-US"/>
        </w:rPr>
        <w:t>трансформиране на икономиката</w:t>
      </w:r>
      <w:r w:rsidRPr="008C7451">
        <w:rPr>
          <w:rFonts w:ascii="Times New Roman" w:hAnsi="Times New Roman" w:cs="Times New Roman"/>
        </w:rPr>
        <w:t xml:space="preserve"> си от линейна </w:t>
      </w:r>
      <w:r w:rsidRPr="00554734">
        <w:rPr>
          <w:rFonts w:ascii="Times New Roman" w:eastAsia="Calibri" w:hAnsi="Times New Roman" w:cs="Times New Roman"/>
          <w:b/>
          <w:color w:val="365F91"/>
          <w:lang w:eastAsia="en-US"/>
        </w:rPr>
        <w:t>към кръгова</w:t>
      </w:r>
      <w:r>
        <w:rPr>
          <w:rFonts w:ascii="Times New Roman" w:hAnsi="Times New Roman" w:cs="Times New Roman"/>
        </w:rPr>
        <w:t>, в условия на отсъствие на всеобхватен стратегически документ, който да постави основите на такава трансформация</w:t>
      </w:r>
      <w:r w:rsidR="00BF19EA">
        <w:rPr>
          <w:rStyle w:val="FootnoteReference"/>
          <w:rFonts w:ascii="Times New Roman" w:hAnsi="Times New Roman" w:cs="Times New Roman"/>
        </w:rPr>
        <w:footnoteReference w:id="138"/>
      </w:r>
      <w:r w:rsidRPr="008C7451">
        <w:rPr>
          <w:rFonts w:ascii="Times New Roman" w:hAnsi="Times New Roman" w:cs="Times New Roman"/>
        </w:rPr>
        <w:t xml:space="preserve">. Страната остава на последно място в ЕС </w:t>
      </w:r>
      <w:r>
        <w:rPr>
          <w:rFonts w:ascii="Times New Roman" w:hAnsi="Times New Roman" w:cs="Times New Roman"/>
        </w:rPr>
        <w:t xml:space="preserve">– със значителна разлика – </w:t>
      </w:r>
      <w:r w:rsidRPr="008C7451">
        <w:rPr>
          <w:rFonts w:ascii="Times New Roman" w:hAnsi="Times New Roman" w:cs="Times New Roman"/>
        </w:rPr>
        <w:t>по</w:t>
      </w:r>
      <w:r>
        <w:rPr>
          <w:rFonts w:ascii="Times New Roman" w:hAnsi="Times New Roman" w:cs="Times New Roman"/>
        </w:rPr>
        <w:t xml:space="preserve"> </w:t>
      </w:r>
      <w:r w:rsidRPr="008C7451">
        <w:rPr>
          <w:rFonts w:ascii="Times New Roman" w:hAnsi="Times New Roman" w:cs="Times New Roman"/>
        </w:rPr>
        <w:t>производителност на ресурсите</w:t>
      </w:r>
      <w:r>
        <w:rPr>
          <w:rFonts w:ascii="Times New Roman" w:hAnsi="Times New Roman" w:cs="Times New Roman"/>
        </w:rPr>
        <w:t xml:space="preserve"> </w:t>
      </w:r>
      <w:r w:rsidRPr="008C7451">
        <w:rPr>
          <w:rFonts w:ascii="Times New Roman" w:hAnsi="Times New Roman" w:cs="Times New Roman"/>
        </w:rPr>
        <w:t>(вж. част 2.5.4.)</w:t>
      </w:r>
      <w:r>
        <w:rPr>
          <w:rFonts w:ascii="Times New Roman" w:hAnsi="Times New Roman" w:cs="Times New Roman"/>
        </w:rPr>
        <w:t>, като</w:t>
      </w:r>
      <w:r w:rsidRPr="008C7451">
        <w:rPr>
          <w:rFonts w:ascii="Times New Roman" w:hAnsi="Times New Roman" w:cs="Times New Roman"/>
        </w:rPr>
        <w:t xml:space="preserve"> </w:t>
      </w:r>
      <w:r>
        <w:rPr>
          <w:rFonts w:ascii="Times New Roman" w:hAnsi="Times New Roman" w:cs="Times New Roman"/>
        </w:rPr>
        <w:t xml:space="preserve">отбелязаният напредък в това отношение изостава спрямо усилията в другите държави – членки на ЕС. </w:t>
      </w:r>
      <w:r w:rsidRPr="008C7451">
        <w:rPr>
          <w:rFonts w:ascii="Times New Roman" w:hAnsi="Times New Roman" w:cs="Times New Roman"/>
        </w:rPr>
        <w:t xml:space="preserve">Въпреки растящото търсене на екологосъобразни продукти и услуги заинтересованите страни засега не са склонни </w:t>
      </w:r>
      <w:r>
        <w:rPr>
          <w:rFonts w:ascii="Times New Roman" w:hAnsi="Times New Roman" w:cs="Times New Roman"/>
        </w:rPr>
        <w:t xml:space="preserve">масово </w:t>
      </w:r>
      <w:r w:rsidRPr="008C7451">
        <w:rPr>
          <w:rFonts w:ascii="Times New Roman" w:hAnsi="Times New Roman" w:cs="Times New Roman"/>
        </w:rPr>
        <w:t>да инвестират в тези сфери</w:t>
      </w:r>
      <w:r>
        <w:rPr>
          <w:rFonts w:ascii="Times New Roman" w:hAnsi="Times New Roman" w:cs="Times New Roman"/>
        </w:rPr>
        <w:t xml:space="preserve">. Експресно проучване на </w:t>
      </w:r>
      <w:proofErr w:type="spellStart"/>
      <w:r>
        <w:rPr>
          <w:rFonts w:ascii="Times New Roman" w:hAnsi="Times New Roman" w:cs="Times New Roman"/>
        </w:rPr>
        <w:t>Евробарометър</w:t>
      </w:r>
      <w:proofErr w:type="spellEnd"/>
      <w:r>
        <w:rPr>
          <w:rStyle w:val="FootnoteReference"/>
          <w:rFonts w:ascii="Times New Roman" w:hAnsi="Times New Roman"/>
        </w:rPr>
        <w:footnoteReference w:id="139"/>
      </w:r>
      <w:r>
        <w:rPr>
          <w:rFonts w:ascii="Times New Roman" w:hAnsi="Times New Roman" w:cs="Times New Roman"/>
        </w:rPr>
        <w:t xml:space="preserve"> през 2015 г. показва, че 22% от българските предприятия не предприемат никакви усилия за повишаване на ресурсната ефективност, което е седмият най-висок процент в рамките на ЕС и надвишава средната стойност в общността (13%). В същото време, почти половината (49%) от предприятията, предприели </w:t>
      </w:r>
      <w:r w:rsidRPr="007A07FE">
        <w:rPr>
          <w:rFonts w:ascii="Times New Roman" w:hAnsi="Times New Roman" w:cs="Times New Roman"/>
        </w:rPr>
        <w:t>действия във връзка с ресурсната ефективност</w:t>
      </w:r>
      <w:r>
        <w:rPr>
          <w:rFonts w:ascii="Times New Roman" w:hAnsi="Times New Roman" w:cs="Times New Roman"/>
        </w:rPr>
        <w:t>,</w:t>
      </w:r>
      <w:r w:rsidRPr="007A07FE">
        <w:rPr>
          <w:rFonts w:ascii="Times New Roman" w:hAnsi="Times New Roman" w:cs="Times New Roman"/>
        </w:rPr>
        <w:t xml:space="preserve"> са </w:t>
      </w:r>
      <w:r>
        <w:rPr>
          <w:rFonts w:ascii="Times New Roman" w:hAnsi="Times New Roman" w:cs="Times New Roman"/>
        </w:rPr>
        <w:t>постигнали</w:t>
      </w:r>
      <w:r w:rsidRPr="007A07FE">
        <w:rPr>
          <w:rFonts w:ascii="Times New Roman" w:hAnsi="Times New Roman" w:cs="Times New Roman"/>
        </w:rPr>
        <w:t xml:space="preserve"> намаляв</w:t>
      </w:r>
      <w:r>
        <w:rPr>
          <w:rFonts w:ascii="Times New Roman" w:hAnsi="Times New Roman" w:cs="Times New Roman"/>
        </w:rPr>
        <w:t>ане на производствените разходи.</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F762D4">
        <w:rPr>
          <w:rFonts w:ascii="Times New Roman" w:hAnsi="Times New Roman" w:cs="Times New Roman"/>
        </w:rPr>
        <w:t xml:space="preserve">Според Европейския </w:t>
      </w:r>
      <w:proofErr w:type="spellStart"/>
      <w:r>
        <w:rPr>
          <w:rFonts w:ascii="Times New Roman" w:hAnsi="Times New Roman" w:cs="Times New Roman"/>
        </w:rPr>
        <w:t>еко</w:t>
      </w:r>
      <w:r w:rsidRPr="00F762D4">
        <w:rPr>
          <w:rFonts w:ascii="Times New Roman" w:hAnsi="Times New Roman" w:cs="Times New Roman"/>
        </w:rPr>
        <w:t>иновационен</w:t>
      </w:r>
      <w:proofErr w:type="spellEnd"/>
      <w:r w:rsidRPr="00F762D4">
        <w:rPr>
          <w:rFonts w:ascii="Times New Roman" w:hAnsi="Times New Roman" w:cs="Times New Roman"/>
        </w:rPr>
        <w:t xml:space="preserve"> индекс (</w:t>
      </w:r>
      <w:r w:rsidRPr="00F762D4">
        <w:rPr>
          <w:rFonts w:ascii="Times New Roman" w:hAnsi="Times New Roman" w:cs="Times New Roman"/>
          <w:i/>
          <w:lang w:val="en-GB"/>
        </w:rPr>
        <w:t>European Eco-Innovation Scoreboard</w:t>
      </w:r>
      <w:r w:rsidRPr="00F762D4">
        <w:rPr>
          <w:rFonts w:ascii="Times New Roman" w:hAnsi="Times New Roman" w:cs="Times New Roman"/>
        </w:rPr>
        <w:t>)</w:t>
      </w:r>
      <w:r>
        <w:rPr>
          <w:rFonts w:ascii="Times New Roman" w:hAnsi="Times New Roman" w:cs="Times New Roman"/>
        </w:rPr>
        <w:t xml:space="preserve"> на Обсерваторията за екологични иновации</w:t>
      </w:r>
      <w:r w:rsidRPr="00F762D4">
        <w:rPr>
          <w:rFonts w:ascii="Times New Roman" w:hAnsi="Times New Roman" w:cs="Times New Roman"/>
        </w:rPr>
        <w:t xml:space="preserve">, през 2017 г. България </w:t>
      </w:r>
      <w:r>
        <w:rPr>
          <w:rFonts w:ascii="Times New Roman" w:hAnsi="Times New Roman" w:cs="Times New Roman"/>
        </w:rPr>
        <w:t>остава на последното място в ЕС</w:t>
      </w:r>
      <w:r>
        <w:rPr>
          <w:rFonts w:ascii="Times New Roman" w:hAnsi="Times New Roman" w:cs="Times New Roman"/>
          <w:lang w:val="en-US"/>
        </w:rPr>
        <w:t xml:space="preserve"> </w:t>
      </w:r>
      <w:r>
        <w:rPr>
          <w:rFonts w:ascii="Times New Roman" w:hAnsi="Times New Roman" w:cs="Times New Roman"/>
        </w:rPr>
        <w:t xml:space="preserve">при липса на чувствително развитие спрямо предходни години по отношение на прилагането на принципа на кръгова икономика и внедряване на </w:t>
      </w:r>
      <w:proofErr w:type="spellStart"/>
      <w:r>
        <w:rPr>
          <w:rFonts w:ascii="Times New Roman" w:hAnsi="Times New Roman" w:cs="Times New Roman"/>
        </w:rPr>
        <w:t>екоиновационни</w:t>
      </w:r>
      <w:proofErr w:type="spellEnd"/>
      <w:r>
        <w:rPr>
          <w:rFonts w:ascii="Times New Roman" w:hAnsi="Times New Roman" w:cs="Times New Roman"/>
        </w:rPr>
        <w:t xml:space="preserve"> дейности. Проучването идентифицира </w:t>
      </w:r>
      <w:r w:rsidRPr="007F16FB">
        <w:rPr>
          <w:rFonts w:ascii="Times New Roman" w:hAnsi="Times New Roman" w:cs="Times New Roman"/>
        </w:rPr>
        <w:t>търсенето на нови екологични продукти и технологии, дължащо се на подобреното качество на живот</w:t>
      </w:r>
      <w:r>
        <w:rPr>
          <w:rFonts w:ascii="Times New Roman" w:hAnsi="Times New Roman" w:cs="Times New Roman"/>
        </w:rPr>
        <w:t>,</w:t>
      </w:r>
      <w:r w:rsidRPr="007F16FB">
        <w:rPr>
          <w:rFonts w:ascii="Times New Roman" w:hAnsi="Times New Roman" w:cs="Times New Roman"/>
        </w:rPr>
        <w:t xml:space="preserve"> и ориентирането към по-здравословен начин на живот</w:t>
      </w:r>
      <w:r>
        <w:rPr>
          <w:rFonts w:ascii="Times New Roman" w:hAnsi="Times New Roman" w:cs="Times New Roman"/>
        </w:rPr>
        <w:t xml:space="preserve"> като благоприятни условия, които могат да доведат до подобряване на представянето на страната по показателя. В допълнение, като фактори за напредък са отбелязани и с</w:t>
      </w:r>
      <w:r w:rsidRPr="007F16FB">
        <w:rPr>
          <w:rFonts w:ascii="Times New Roman" w:hAnsi="Times New Roman" w:cs="Times New Roman"/>
        </w:rPr>
        <w:t xml:space="preserve">ъздаването на нови работни места в областта на екологосъобразната и синята икономика, интернационализацията и глобализацията на икономиката, които налагат изисквания за подобряване на конкурентоспособността на </w:t>
      </w:r>
      <w:r>
        <w:rPr>
          <w:rFonts w:ascii="Times New Roman" w:hAnsi="Times New Roman" w:cs="Times New Roman"/>
        </w:rPr>
        <w:t xml:space="preserve">предприятията </w:t>
      </w:r>
      <w:r w:rsidRPr="007F16FB">
        <w:rPr>
          <w:rFonts w:ascii="Times New Roman" w:hAnsi="Times New Roman" w:cs="Times New Roman"/>
        </w:rPr>
        <w:t>посредством въвеждането на иновативни технологии и технологии за екологични иновации, енергийна и ресурсна ефективност</w:t>
      </w:r>
      <w:r>
        <w:rPr>
          <w:rFonts w:ascii="Times New Roman" w:hAnsi="Times New Roman" w:cs="Times New Roman"/>
        </w:rPr>
        <w:t xml:space="preserve">. Според анализа, </w:t>
      </w:r>
      <w:r w:rsidRPr="007F16FB">
        <w:rPr>
          <w:rFonts w:ascii="Times New Roman" w:hAnsi="Times New Roman" w:cs="Times New Roman"/>
        </w:rPr>
        <w:t xml:space="preserve">основните пречки пред екологичните иновации и кръговата икономика в </w:t>
      </w:r>
      <w:r>
        <w:rPr>
          <w:rFonts w:ascii="Times New Roman" w:hAnsi="Times New Roman" w:cs="Times New Roman"/>
        </w:rPr>
        <w:t>страната</w:t>
      </w:r>
      <w:r w:rsidRPr="007F16FB">
        <w:rPr>
          <w:rFonts w:ascii="Times New Roman" w:hAnsi="Times New Roman" w:cs="Times New Roman"/>
        </w:rPr>
        <w:t xml:space="preserve"> са от икономически и финансов характер. Най-важните сред тях са ограничените средства за </w:t>
      </w:r>
      <w:r w:rsidRPr="007F16FB">
        <w:rPr>
          <w:rFonts w:ascii="Times New Roman" w:hAnsi="Times New Roman" w:cs="Times New Roman"/>
        </w:rPr>
        <w:lastRenderedPageBreak/>
        <w:t>модернизиране на машинния парк на българските предприятия</w:t>
      </w:r>
      <w:r>
        <w:rPr>
          <w:rFonts w:ascii="Times New Roman" w:hAnsi="Times New Roman" w:cs="Times New Roman"/>
        </w:rPr>
        <w:t xml:space="preserve"> и</w:t>
      </w:r>
      <w:r w:rsidRPr="007F16FB">
        <w:rPr>
          <w:rFonts w:ascii="Times New Roman" w:hAnsi="Times New Roman" w:cs="Times New Roman"/>
        </w:rPr>
        <w:t xml:space="preserve"> ви</w:t>
      </w:r>
      <w:r>
        <w:rPr>
          <w:rFonts w:ascii="Times New Roman" w:hAnsi="Times New Roman" w:cs="Times New Roman"/>
        </w:rPr>
        <w:t>соките относителни цени</w:t>
      </w:r>
      <w:r>
        <w:rPr>
          <w:rStyle w:val="FootnoteReference"/>
          <w:rFonts w:ascii="Times New Roman" w:hAnsi="Times New Roman"/>
        </w:rPr>
        <w:footnoteReference w:id="140"/>
      </w:r>
      <w:r>
        <w:rPr>
          <w:rFonts w:ascii="Times New Roman" w:hAnsi="Times New Roman" w:cs="Times New Roman"/>
        </w:rPr>
        <w:t xml:space="preserve"> на електроенергията.</w:t>
      </w:r>
    </w:p>
    <w:p w:rsidR="00F00FD2" w:rsidRDefault="00F00FD2" w:rsidP="00AE0F90">
      <w:pPr>
        <w:pStyle w:val="ListParagraph"/>
        <w:spacing w:line="269" w:lineRule="auto"/>
        <w:ind w:left="0" w:firstLine="0"/>
        <w:contextualSpacing w:val="0"/>
        <w:jc w:val="both"/>
        <w:rPr>
          <w:rFonts w:ascii="Times New Roman" w:hAnsi="Times New Roman" w:cs="Times New Roman"/>
        </w:rPr>
      </w:pPr>
      <w:r w:rsidRPr="00F00FD2">
        <w:rPr>
          <w:rFonts w:ascii="Times New Roman" w:hAnsi="Times New Roman" w:cs="Times New Roman"/>
        </w:rPr>
        <w:t xml:space="preserve">По отношение на </w:t>
      </w:r>
      <w:r w:rsidRPr="00BC457A">
        <w:rPr>
          <w:rFonts w:ascii="Times New Roman" w:eastAsia="Calibri" w:hAnsi="Times New Roman" w:cs="Times New Roman"/>
          <w:b/>
          <w:color w:val="365F91"/>
          <w:lang w:eastAsia="en-US"/>
        </w:rPr>
        <w:t>изменението на климата</w:t>
      </w:r>
      <w:r w:rsidRPr="00F00FD2">
        <w:rPr>
          <w:rFonts w:ascii="Times New Roman" w:hAnsi="Times New Roman" w:cs="Times New Roman"/>
        </w:rPr>
        <w:t xml:space="preserve"> България е разположена в един от регионите, който е особено уязвим към изменението на климата. През последните десетилетия честотата и </w:t>
      </w:r>
      <w:r>
        <w:rPr>
          <w:rFonts w:ascii="Times New Roman" w:hAnsi="Times New Roman" w:cs="Times New Roman"/>
        </w:rPr>
        <w:t>интензитета</w:t>
      </w:r>
      <w:r w:rsidRPr="00F00FD2">
        <w:rPr>
          <w:rFonts w:ascii="Times New Roman" w:hAnsi="Times New Roman" w:cs="Times New Roman"/>
        </w:rPr>
        <w:t xml:space="preserve"> на екстремните метеорологични явления се </w:t>
      </w:r>
      <w:r>
        <w:rPr>
          <w:rFonts w:ascii="Times New Roman" w:hAnsi="Times New Roman" w:cs="Times New Roman"/>
        </w:rPr>
        <w:t>увеличава</w:t>
      </w:r>
      <w:r w:rsidRPr="00F00FD2">
        <w:rPr>
          <w:rFonts w:ascii="Times New Roman" w:hAnsi="Times New Roman" w:cs="Times New Roman"/>
        </w:rPr>
        <w:t xml:space="preserve"> значително. Рисковете, причинени от явления, свързани с изменението на климата, могат да доведат до загуба на човешки живот, унищожаване или нарушаване на значима инфраструктура или да причинят значителни щети, засягащи икономическия растеж и просперитета както на национално, така и на трансгранично равнище. Най-често срещаните хидрометеорологични и природни бедствия са екстремни валежи и температури, бури, наводнения, горски пожари, свлачища и суша. Все повече доказателства сочат, че икономическите загуби от бедствия, свързани с метеорологични и климатични условия, нарастват. Значителен принос в насока намаляване уязвимостта на страната спрямо последиците от изменението на климата и подобряване на капацитета за адаптация на екологичните, социалните и икономическите системи към въздействията на изменението на климата представлява разработеният проект на Национална стратегия за адаптация към изменението на климата и План за действие. Проектът на Стратегия е референтен документ, очертаващ стратегическата рамка и приоритетите по отношение на адаптацията към изменението на климата до 2030 г.</w:t>
      </w:r>
    </w:p>
    <w:p w:rsidR="00AE0F90" w:rsidRPr="004A7679"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Усилията за изграждане на цялостна и разгърната система за </w:t>
      </w:r>
      <w:r w:rsidRPr="00BE1C33">
        <w:rPr>
          <w:rFonts w:ascii="Times New Roman" w:eastAsia="Calibri" w:hAnsi="Times New Roman" w:cs="Times New Roman"/>
          <w:b/>
          <w:color w:val="365F91"/>
          <w:lang w:eastAsia="en-US"/>
        </w:rPr>
        <w:t>управление на рисковете от бедствия</w:t>
      </w:r>
      <w:r>
        <w:rPr>
          <w:rFonts w:ascii="Times New Roman" w:hAnsi="Times New Roman" w:cs="Times New Roman"/>
        </w:rPr>
        <w:t xml:space="preserve"> все още не дават задоволителни резултати. </w:t>
      </w:r>
      <w:r w:rsidRPr="00015B4E">
        <w:rPr>
          <w:rFonts w:ascii="Times New Roman" w:hAnsi="Times New Roman" w:cs="Times New Roman"/>
        </w:rPr>
        <w:t>Действащият</w:t>
      </w:r>
      <w:r>
        <w:rPr>
          <w:rFonts w:ascii="Times New Roman" w:hAnsi="Times New Roman" w:cs="Times New Roman"/>
        </w:rPr>
        <w:t xml:space="preserve"> </w:t>
      </w:r>
      <w:r w:rsidRPr="00015B4E">
        <w:rPr>
          <w:rFonts w:ascii="Times New Roman" w:hAnsi="Times New Roman" w:cs="Times New Roman"/>
        </w:rPr>
        <w:t>стратегически документ</w:t>
      </w:r>
      <w:r>
        <w:rPr>
          <w:rFonts w:ascii="Times New Roman" w:hAnsi="Times New Roman" w:cs="Times New Roman"/>
        </w:rPr>
        <w:t xml:space="preserve"> (п</w:t>
      </w:r>
      <w:r w:rsidRPr="00015B4E">
        <w:rPr>
          <w:rFonts w:ascii="Times New Roman" w:hAnsi="Times New Roman" w:cs="Times New Roman"/>
        </w:rPr>
        <w:t>оказателно е, че се нарича Национална програма за защита при бедствия</w:t>
      </w:r>
      <w:r>
        <w:rPr>
          <w:rFonts w:ascii="Times New Roman" w:hAnsi="Times New Roman" w:cs="Times New Roman"/>
        </w:rPr>
        <w:t xml:space="preserve">) дава перспектива за управление на вече възникнали извънредни ситуации, като се фокусира върху реакцията и степента на готовност на специализираните структури, и оставя на заден план по-широкото </w:t>
      </w:r>
      <w:r w:rsidRPr="00015B4E">
        <w:rPr>
          <w:rFonts w:ascii="Times New Roman" w:hAnsi="Times New Roman" w:cs="Times New Roman"/>
        </w:rPr>
        <w:t>управление на риск</w:t>
      </w:r>
      <w:r>
        <w:rPr>
          <w:rFonts w:ascii="Times New Roman" w:hAnsi="Times New Roman" w:cs="Times New Roman"/>
        </w:rPr>
        <w:t>овете</w:t>
      </w:r>
      <w:r w:rsidRPr="00015B4E">
        <w:rPr>
          <w:rFonts w:ascii="Times New Roman" w:hAnsi="Times New Roman" w:cs="Times New Roman"/>
        </w:rPr>
        <w:t xml:space="preserve"> от бедствия и съображения за намаляване на </w:t>
      </w:r>
      <w:r>
        <w:rPr>
          <w:rFonts w:ascii="Times New Roman" w:hAnsi="Times New Roman" w:cs="Times New Roman"/>
        </w:rPr>
        <w:t>тези рискове.</w:t>
      </w:r>
      <w:r w:rsidRPr="00015B4E">
        <w:t xml:space="preserve"> </w:t>
      </w:r>
      <w:r>
        <w:rPr>
          <w:rFonts w:ascii="Times New Roman" w:hAnsi="Times New Roman" w:cs="Times New Roman"/>
        </w:rPr>
        <w:t>Основни</w:t>
      </w:r>
      <w:r w:rsidRPr="00015B4E">
        <w:rPr>
          <w:rFonts w:ascii="Times New Roman" w:hAnsi="Times New Roman" w:cs="Times New Roman"/>
        </w:rPr>
        <w:t xml:space="preserve"> елементи на превенцията и управлението на риска от бедствия, като оценки на риска, планиране, обучение, упражнения и оперативна съвместимост, не са широко интегрирани в специфичното законодателство в ключови сектори</w:t>
      </w:r>
      <w:r>
        <w:rPr>
          <w:rStyle w:val="FootnoteReference"/>
          <w:rFonts w:ascii="Times New Roman" w:hAnsi="Times New Roman" w:cs="Times New Roman"/>
        </w:rPr>
        <w:footnoteReference w:id="141"/>
      </w:r>
      <w:r>
        <w:rPr>
          <w:rFonts w:ascii="Times New Roman" w:hAnsi="Times New Roman" w:cs="Times New Roman"/>
        </w:rPr>
        <w:t>.</w:t>
      </w:r>
      <w:r>
        <w:rPr>
          <w:rFonts w:ascii="Times New Roman" w:hAnsi="Times New Roman" w:cs="Times New Roman"/>
          <w:lang w:val="en-US"/>
        </w:rPr>
        <w:t xml:space="preserve"> </w:t>
      </w:r>
      <w:r>
        <w:rPr>
          <w:rFonts w:ascii="Times New Roman" w:hAnsi="Times New Roman" w:cs="Times New Roman"/>
        </w:rPr>
        <w:t xml:space="preserve">Значително предизвикателство остава финансирането на действията по превенция на риска (особено на по-ниските нива на териториално управление), въпреки осъществяването на някои проекти, съфинансирани и със средства от ЕС, които обаче остават непоследователни и с ограничен обхват. Предизвикателство пред ефективността на системата остава и участието на много отговорни институции, при липса на силен координационен механизъм и единен консолидиран орган, който да има правомощията и финансовата обезпеченост да предприема, предписва, наблюдава и контролира необходимите интервенции за оптимизиране на системата и адресиране на съществуващите рискове. </w:t>
      </w:r>
    </w:p>
    <w:p w:rsidR="00AE0F90" w:rsidRPr="008423DB" w:rsidRDefault="00AE0F90" w:rsidP="00AE0F90">
      <w:pPr>
        <w:pStyle w:val="Heading2"/>
        <w:numPr>
          <w:ilvl w:val="1"/>
          <w:numId w:val="16"/>
        </w:numPr>
        <w:rPr>
          <w:color w:val="1F497D"/>
        </w:rPr>
      </w:pPr>
      <w:bookmarkStart w:id="36" w:name="_Toc791821"/>
      <w:r w:rsidRPr="008423DB">
        <w:rPr>
          <w:color w:val="1F497D"/>
        </w:rPr>
        <w:t>Регионални различия</w:t>
      </w:r>
      <w:bookmarkEnd w:id="36"/>
    </w:p>
    <w:p w:rsidR="00AE0F90" w:rsidRPr="00E40FD1" w:rsidRDefault="00AE0F90" w:rsidP="00AE0F90">
      <w:pPr>
        <w:pStyle w:val="ListParagraph"/>
        <w:spacing w:line="269" w:lineRule="auto"/>
        <w:ind w:left="0" w:firstLine="0"/>
        <w:contextualSpacing w:val="0"/>
        <w:jc w:val="both"/>
        <w:rPr>
          <w:rFonts w:ascii="Times New Roman" w:hAnsi="Times New Roman" w:cs="Times New Roman"/>
          <w:i/>
        </w:rPr>
      </w:pPr>
      <w:r w:rsidRPr="00E40FD1">
        <w:rPr>
          <w:rFonts w:ascii="Times New Roman" w:hAnsi="Times New Roman" w:cs="Times New Roman"/>
          <w:i/>
        </w:rPr>
        <w:t>Наблюдаваните различия между райони</w:t>
      </w:r>
      <w:r w:rsidR="000637B7">
        <w:rPr>
          <w:rFonts w:ascii="Times New Roman" w:hAnsi="Times New Roman" w:cs="Times New Roman"/>
          <w:i/>
        </w:rPr>
        <w:t>те от ниво 2</w:t>
      </w:r>
      <w:r w:rsidRPr="00E40FD1">
        <w:rPr>
          <w:rFonts w:ascii="Times New Roman" w:hAnsi="Times New Roman" w:cs="Times New Roman"/>
          <w:i/>
        </w:rPr>
        <w:t xml:space="preserve"> в страната се задълбочават. Доминиращият Югозападен район увеличава допълнително тежестта си в създавания БВП и особено присъствието си в най-динамично развиващия се сектор на услугите. Продължаващото задълбочаване на регионалните различия </w:t>
      </w:r>
      <w:r>
        <w:rPr>
          <w:rFonts w:ascii="Times New Roman" w:hAnsi="Times New Roman" w:cs="Times New Roman"/>
          <w:i/>
        </w:rPr>
        <w:t>– както между райони</w:t>
      </w:r>
      <w:r w:rsidR="000637B7">
        <w:rPr>
          <w:rFonts w:ascii="Times New Roman" w:hAnsi="Times New Roman" w:cs="Times New Roman"/>
          <w:i/>
        </w:rPr>
        <w:t>те от ниво 2</w:t>
      </w:r>
      <w:r>
        <w:rPr>
          <w:rFonts w:ascii="Times New Roman" w:hAnsi="Times New Roman" w:cs="Times New Roman"/>
          <w:i/>
        </w:rPr>
        <w:t xml:space="preserve">, така и на по-ниско териториално ниво, а също и по оста градски-селски райони – </w:t>
      </w:r>
      <w:r w:rsidRPr="00E40FD1">
        <w:rPr>
          <w:rFonts w:ascii="Times New Roman" w:hAnsi="Times New Roman" w:cs="Times New Roman"/>
          <w:i/>
        </w:rPr>
        <w:t>поставя</w:t>
      </w:r>
      <w:r>
        <w:rPr>
          <w:rFonts w:ascii="Times New Roman" w:hAnsi="Times New Roman" w:cs="Times New Roman"/>
          <w:i/>
        </w:rPr>
        <w:t xml:space="preserve"> </w:t>
      </w:r>
      <w:r w:rsidRPr="00E40FD1">
        <w:rPr>
          <w:rFonts w:ascii="Times New Roman" w:hAnsi="Times New Roman" w:cs="Times New Roman"/>
          <w:i/>
        </w:rPr>
        <w:t xml:space="preserve">въпроса за ефективността на регионалната политика, насочена към балансирано развитие на регионите. </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През последните години се задълбочават </w:t>
      </w:r>
      <w:r w:rsidRPr="00E40FD1">
        <w:rPr>
          <w:rFonts w:ascii="Times New Roman" w:eastAsia="Calibri" w:hAnsi="Times New Roman" w:cs="Times New Roman"/>
          <w:b/>
          <w:color w:val="365F91"/>
          <w:lang w:eastAsia="en-US"/>
        </w:rPr>
        <w:t>регионалните различия</w:t>
      </w:r>
      <w:r>
        <w:rPr>
          <w:rFonts w:ascii="Times New Roman" w:hAnsi="Times New Roman" w:cs="Times New Roman"/>
        </w:rPr>
        <w:t xml:space="preserve"> на ниво </w:t>
      </w:r>
      <w:r w:rsidRPr="00972EA6">
        <w:rPr>
          <w:rFonts w:ascii="Times New Roman" w:hAnsi="Times New Roman" w:cs="Times New Roman"/>
        </w:rPr>
        <w:t>NUTS II</w:t>
      </w:r>
      <w:r>
        <w:rPr>
          <w:rFonts w:ascii="Times New Roman" w:hAnsi="Times New Roman" w:cs="Times New Roman"/>
        </w:rPr>
        <w:t xml:space="preserve">. Югозападният район, </w:t>
      </w:r>
      <w:r w:rsidRPr="00EE492F">
        <w:rPr>
          <w:rFonts w:ascii="Times New Roman" w:hAnsi="Times New Roman" w:cs="Times New Roman"/>
        </w:rPr>
        <w:t>в който попада основният икономически център на страната – столицата София</w:t>
      </w:r>
      <w:r>
        <w:rPr>
          <w:rFonts w:ascii="Times New Roman" w:hAnsi="Times New Roman" w:cs="Times New Roman"/>
        </w:rPr>
        <w:t xml:space="preserve">, формира 47.9% от БВП на страната през 2016 г., като увеличава приноса си с 2.4 процентни пункта за последните 10 години. Слабо нарастване на относителния дял в общия БВП (+1 процентен пункт за периода) е регистрирано и от Югоизточния район, докато останалите райони намаляват присъствието си в </w:t>
      </w:r>
      <w:r>
        <w:rPr>
          <w:rFonts w:ascii="Times New Roman" w:hAnsi="Times New Roman" w:cs="Times New Roman"/>
        </w:rPr>
        <w:lastRenderedPageBreak/>
        <w:t>икономиката на страната. При Североизточен (-0.5 процентни пункта) и Южен централен (-0.5 процентни пункта) райони тази тенденция е по слабо изразена, докато Северен централен (-0.8 процентни пункта) и особено Северозападен (-1.6 процентни пункта) райони намаляват приноса си по-осезаемо.</w:t>
      </w:r>
    </w:p>
    <w:p w:rsidR="00AE0F90" w:rsidRPr="00972EA6" w:rsidRDefault="00AE0F90" w:rsidP="00AE0F90">
      <w:pPr>
        <w:pStyle w:val="ListParagraph"/>
        <w:keepNext/>
        <w:spacing w:after="0" w:line="269" w:lineRule="auto"/>
        <w:ind w:left="4678" w:firstLine="0"/>
        <w:contextualSpacing w:val="0"/>
        <w:jc w:val="both"/>
        <w:rPr>
          <w:rFonts w:ascii="Times New Roman" w:hAnsi="Times New Roman" w:cs="Times New Roman"/>
        </w:rPr>
      </w:pPr>
      <w:r w:rsidRPr="00DC4A4B">
        <w:rPr>
          <w:rFonts w:ascii="Times New Roman" w:hAnsi="Times New Roman" w:cs="Times New Roman"/>
          <w:b/>
          <w:sz w:val="18"/>
          <w:szCs w:val="18"/>
        </w:rPr>
        <w:t xml:space="preserve">Графика </w:t>
      </w:r>
      <w:r w:rsidR="00227FC6">
        <w:rPr>
          <w:rFonts w:ascii="Times New Roman" w:hAnsi="Times New Roman" w:cs="Times New Roman"/>
          <w:b/>
          <w:sz w:val="18"/>
          <w:szCs w:val="18"/>
        </w:rPr>
        <w:t xml:space="preserve">18. </w:t>
      </w:r>
      <w:r>
        <w:rPr>
          <w:rFonts w:ascii="Times New Roman" w:hAnsi="Times New Roman" w:cs="Times New Roman"/>
          <w:b/>
          <w:sz w:val="18"/>
          <w:szCs w:val="18"/>
        </w:rPr>
        <w:t>Структура на БВП по райони 2007-2016 г.</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w:drawing>
          <wp:anchor distT="0" distB="0" distL="114300" distR="114300" simplePos="0" relativeHeight="251659776" behindDoc="0" locked="0" layoutInCell="1" allowOverlap="1" wp14:anchorId="40F81547" wp14:editId="08552D06">
            <wp:simplePos x="0" y="0"/>
            <wp:positionH relativeFrom="column">
              <wp:posOffset>2956560</wp:posOffset>
            </wp:positionH>
            <wp:positionV relativeFrom="paragraph">
              <wp:posOffset>93980</wp:posOffset>
            </wp:positionV>
            <wp:extent cx="3152775" cy="189484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52775" cy="1894840"/>
                    </a:xfrm>
                    <a:prstGeom prst="rect">
                      <a:avLst/>
                    </a:prstGeom>
                    <a:noFill/>
                  </pic:spPr>
                </pic:pic>
              </a:graphicData>
            </a:graphic>
            <wp14:sizeRelH relativeFrom="page">
              <wp14:pctWidth>0</wp14:pctWidth>
            </wp14:sizeRelH>
            <wp14:sizeRelV relativeFrom="page">
              <wp14:pctHeight>0</wp14:pctHeight>
            </wp14:sizeRelV>
          </wp:anchor>
        </w:drawing>
      </w:r>
      <w:r w:rsidRPr="00972EA6">
        <w:rPr>
          <w:rFonts w:ascii="Times New Roman" w:hAnsi="Times New Roman" w:cs="Times New Roman"/>
        </w:rPr>
        <w:t xml:space="preserve">По показателя БВП на човек от населението районите на България изостават значително от средното равнище, както и от водещите райони в ЕС. Северозападен район </w:t>
      </w:r>
      <w:r>
        <w:rPr>
          <w:rFonts w:ascii="Times New Roman" w:hAnsi="Times New Roman" w:cs="Times New Roman"/>
        </w:rPr>
        <w:t xml:space="preserve">продължава да </w:t>
      </w:r>
      <w:r w:rsidRPr="00972EA6">
        <w:rPr>
          <w:rFonts w:ascii="Times New Roman" w:hAnsi="Times New Roman" w:cs="Times New Roman"/>
        </w:rPr>
        <w:t>заема последн</w:t>
      </w:r>
      <w:r>
        <w:rPr>
          <w:rFonts w:ascii="Times New Roman" w:hAnsi="Times New Roman" w:cs="Times New Roman"/>
        </w:rPr>
        <w:t>ото</w:t>
      </w:r>
      <w:r w:rsidRPr="00972EA6">
        <w:rPr>
          <w:rFonts w:ascii="Times New Roman" w:hAnsi="Times New Roman" w:cs="Times New Roman"/>
        </w:rPr>
        <w:t xml:space="preserve"> м</w:t>
      </w:r>
      <w:r>
        <w:rPr>
          <w:rFonts w:ascii="Times New Roman" w:hAnsi="Times New Roman" w:cs="Times New Roman"/>
        </w:rPr>
        <w:t>я</w:t>
      </w:r>
      <w:r w:rsidRPr="00972EA6">
        <w:rPr>
          <w:rFonts w:ascii="Times New Roman" w:hAnsi="Times New Roman" w:cs="Times New Roman"/>
        </w:rPr>
        <w:t>ст</w:t>
      </w:r>
      <w:r>
        <w:rPr>
          <w:rFonts w:ascii="Times New Roman" w:hAnsi="Times New Roman" w:cs="Times New Roman"/>
        </w:rPr>
        <w:t>о</w:t>
      </w:r>
      <w:r w:rsidRPr="00972EA6">
        <w:rPr>
          <w:rFonts w:ascii="Times New Roman" w:hAnsi="Times New Roman" w:cs="Times New Roman"/>
        </w:rPr>
        <w:t xml:space="preserve"> в класацията на районите в ЕС по този показател с 2</w:t>
      </w:r>
      <w:r>
        <w:rPr>
          <w:rFonts w:ascii="Times New Roman" w:hAnsi="Times New Roman" w:cs="Times New Roman"/>
        </w:rPr>
        <w:t>9</w:t>
      </w:r>
      <w:r w:rsidRPr="00972EA6">
        <w:rPr>
          <w:rFonts w:ascii="Times New Roman" w:hAnsi="Times New Roman" w:cs="Times New Roman"/>
        </w:rPr>
        <w:t xml:space="preserve">% от средното </w:t>
      </w:r>
      <w:r>
        <w:rPr>
          <w:rFonts w:ascii="Times New Roman" w:hAnsi="Times New Roman" w:cs="Times New Roman"/>
        </w:rPr>
        <w:t xml:space="preserve">ниво </w:t>
      </w:r>
      <w:r w:rsidRPr="00972EA6">
        <w:rPr>
          <w:rFonts w:ascii="Times New Roman" w:hAnsi="Times New Roman" w:cs="Times New Roman"/>
        </w:rPr>
        <w:t>за ЕС</w:t>
      </w:r>
      <w:r>
        <w:rPr>
          <w:rFonts w:ascii="Times New Roman" w:hAnsi="Times New Roman" w:cs="Times New Roman"/>
        </w:rPr>
        <w:t>, като все пак  успява да навакса 2 процентни пункта от изоставането си през последните десет години</w:t>
      </w:r>
      <w:r w:rsidRPr="00972EA6">
        <w:rPr>
          <w:rFonts w:ascii="Times New Roman" w:hAnsi="Times New Roman" w:cs="Times New Roman"/>
        </w:rPr>
        <w:t>. Северен централен</w:t>
      </w:r>
      <w:r>
        <w:rPr>
          <w:rFonts w:ascii="Times New Roman" w:hAnsi="Times New Roman" w:cs="Times New Roman"/>
        </w:rPr>
        <w:t>,</w:t>
      </w:r>
      <w:r w:rsidRPr="00972EA6">
        <w:rPr>
          <w:rFonts w:ascii="Times New Roman" w:hAnsi="Times New Roman" w:cs="Times New Roman"/>
        </w:rPr>
        <w:t xml:space="preserve"> Южен централен, Североизточен и Югоизточен район</w:t>
      </w:r>
      <w:r>
        <w:rPr>
          <w:rFonts w:ascii="Times New Roman" w:hAnsi="Times New Roman" w:cs="Times New Roman"/>
        </w:rPr>
        <w:t>и</w:t>
      </w:r>
      <w:r w:rsidRPr="00972EA6">
        <w:rPr>
          <w:rFonts w:ascii="Times New Roman" w:hAnsi="Times New Roman" w:cs="Times New Roman"/>
        </w:rPr>
        <w:t xml:space="preserve"> са на </w:t>
      </w:r>
      <w:r>
        <w:rPr>
          <w:rFonts w:ascii="Times New Roman" w:hAnsi="Times New Roman" w:cs="Times New Roman"/>
        </w:rPr>
        <w:t xml:space="preserve">3-то, </w:t>
      </w:r>
      <w:r w:rsidRPr="00972EA6">
        <w:rPr>
          <w:rFonts w:ascii="Times New Roman" w:hAnsi="Times New Roman" w:cs="Times New Roman"/>
        </w:rPr>
        <w:t xml:space="preserve">4-то, </w:t>
      </w:r>
      <w:r>
        <w:rPr>
          <w:rFonts w:ascii="Times New Roman" w:hAnsi="Times New Roman" w:cs="Times New Roman"/>
        </w:rPr>
        <w:t>6</w:t>
      </w:r>
      <w:r w:rsidRPr="00972EA6">
        <w:rPr>
          <w:rFonts w:ascii="Times New Roman" w:hAnsi="Times New Roman" w:cs="Times New Roman"/>
        </w:rPr>
        <w:t xml:space="preserve">-то и </w:t>
      </w:r>
      <w:r>
        <w:rPr>
          <w:rFonts w:ascii="Times New Roman" w:hAnsi="Times New Roman" w:cs="Times New Roman"/>
        </w:rPr>
        <w:t>8</w:t>
      </w:r>
      <w:r w:rsidRPr="00972EA6">
        <w:rPr>
          <w:rFonts w:ascii="Times New Roman" w:hAnsi="Times New Roman" w:cs="Times New Roman"/>
        </w:rPr>
        <w:t>-</w:t>
      </w:r>
      <w:r>
        <w:rPr>
          <w:rFonts w:ascii="Times New Roman" w:hAnsi="Times New Roman" w:cs="Times New Roman"/>
        </w:rPr>
        <w:t>мо</w:t>
      </w:r>
      <w:r w:rsidRPr="00972EA6">
        <w:rPr>
          <w:rFonts w:ascii="Times New Roman" w:hAnsi="Times New Roman" w:cs="Times New Roman"/>
        </w:rPr>
        <w:t xml:space="preserve"> място в групата от 20 региони с най-нисък БВП на човек в ЕС (с равнище от 3</w:t>
      </w:r>
      <w:r>
        <w:rPr>
          <w:rFonts w:ascii="Times New Roman" w:hAnsi="Times New Roman" w:cs="Times New Roman"/>
        </w:rPr>
        <w:t>4</w:t>
      </w:r>
      <w:r w:rsidRPr="00972EA6">
        <w:rPr>
          <w:rFonts w:ascii="Times New Roman" w:hAnsi="Times New Roman" w:cs="Times New Roman"/>
        </w:rPr>
        <w:t>%,</w:t>
      </w:r>
      <w:r>
        <w:rPr>
          <w:rFonts w:ascii="Times New Roman" w:hAnsi="Times New Roman" w:cs="Times New Roman"/>
        </w:rPr>
        <w:t xml:space="preserve"> 34%,</w:t>
      </w:r>
      <w:r w:rsidRPr="00972EA6">
        <w:rPr>
          <w:rFonts w:ascii="Times New Roman" w:hAnsi="Times New Roman" w:cs="Times New Roman"/>
        </w:rPr>
        <w:t xml:space="preserve"> 3</w:t>
      </w:r>
      <w:r>
        <w:rPr>
          <w:rFonts w:ascii="Times New Roman" w:hAnsi="Times New Roman" w:cs="Times New Roman"/>
        </w:rPr>
        <w:t>9</w:t>
      </w:r>
      <w:r w:rsidRPr="00972EA6">
        <w:rPr>
          <w:rFonts w:ascii="Times New Roman" w:hAnsi="Times New Roman" w:cs="Times New Roman"/>
        </w:rPr>
        <w:t xml:space="preserve">% и </w:t>
      </w:r>
      <w:r>
        <w:rPr>
          <w:rFonts w:ascii="Times New Roman" w:hAnsi="Times New Roman" w:cs="Times New Roman"/>
        </w:rPr>
        <w:t>4</w:t>
      </w:r>
      <w:r w:rsidRPr="00972EA6">
        <w:rPr>
          <w:rFonts w:ascii="Times New Roman" w:hAnsi="Times New Roman" w:cs="Times New Roman"/>
        </w:rPr>
        <w:t>3% от средното за ЕС). Откроява се Югозападен район (със 7</w:t>
      </w:r>
      <w:r>
        <w:rPr>
          <w:rFonts w:ascii="Times New Roman" w:hAnsi="Times New Roman" w:cs="Times New Roman"/>
        </w:rPr>
        <w:t>8</w:t>
      </w:r>
      <w:r w:rsidRPr="00972EA6">
        <w:rPr>
          <w:rFonts w:ascii="Times New Roman" w:hAnsi="Times New Roman" w:cs="Times New Roman"/>
        </w:rPr>
        <w:t>% от средното равнище за ЕС през 20</w:t>
      </w:r>
      <w:r>
        <w:rPr>
          <w:rFonts w:ascii="Times New Roman" w:hAnsi="Times New Roman" w:cs="Times New Roman"/>
        </w:rPr>
        <w:t>16</w:t>
      </w:r>
      <w:r w:rsidRPr="00972EA6">
        <w:rPr>
          <w:rFonts w:ascii="Times New Roman" w:hAnsi="Times New Roman" w:cs="Times New Roman"/>
        </w:rPr>
        <w:t xml:space="preserve"> г.), като в столицата са концентрирани значителна част от икономическите дейности и тя остава най-привлекателното място за бизнес и заетост в страната с равнище на БВП на човек от населението от 105% спрямо средното за ЕС.</w:t>
      </w:r>
    </w:p>
    <w:p w:rsidR="00AE0F90" w:rsidRPr="00972EA6" w:rsidRDefault="00AE0F90" w:rsidP="00AE0F90">
      <w:pPr>
        <w:pStyle w:val="ListParagraph"/>
        <w:spacing w:line="269" w:lineRule="auto"/>
        <w:ind w:left="0" w:firstLine="0"/>
        <w:contextualSpacing w:val="0"/>
        <w:jc w:val="both"/>
        <w:rPr>
          <w:rFonts w:ascii="Times New Roman" w:hAnsi="Times New Roman" w:cs="Times New Roman"/>
        </w:rPr>
      </w:pPr>
      <w:r w:rsidRPr="00972EA6">
        <w:rPr>
          <w:rFonts w:ascii="Times New Roman" w:hAnsi="Times New Roman" w:cs="Times New Roman"/>
        </w:rPr>
        <w:t>Отбелязва се силно изразена поляризация в динамиката на БВП и в реализирания БВП на човек от населението между София-град (столица) и останалите области на страната</w:t>
      </w:r>
      <w:r>
        <w:rPr>
          <w:rFonts w:ascii="Times New Roman" w:hAnsi="Times New Roman" w:cs="Times New Roman"/>
        </w:rPr>
        <w:t xml:space="preserve"> при засилване на </w:t>
      </w:r>
      <w:proofErr w:type="spellStart"/>
      <w:r>
        <w:rPr>
          <w:rFonts w:ascii="Times New Roman" w:hAnsi="Times New Roman" w:cs="Times New Roman"/>
        </w:rPr>
        <w:t>моноцентричния</w:t>
      </w:r>
      <w:proofErr w:type="spellEnd"/>
      <w:r>
        <w:rPr>
          <w:rFonts w:ascii="Times New Roman" w:hAnsi="Times New Roman" w:cs="Times New Roman"/>
        </w:rPr>
        <w:t xml:space="preserve"> модел на развитие</w:t>
      </w:r>
      <w:r w:rsidRPr="00972EA6">
        <w:rPr>
          <w:rFonts w:ascii="Times New Roman" w:hAnsi="Times New Roman" w:cs="Times New Roman"/>
        </w:rPr>
        <w:t>.</w:t>
      </w:r>
      <w:r>
        <w:rPr>
          <w:rFonts w:ascii="Times New Roman" w:hAnsi="Times New Roman" w:cs="Times New Roman"/>
        </w:rPr>
        <w:t xml:space="preserve"> Към 2016 г. относителният дял на столицата във формирането на БВП достига 40% (спрямо 36.7% десет години по-рано). Вторият по големина център в страната (Пловдив), въпреки че също успява през последните десет години да увеличи присъствието си в общия БВП, има пет пъти по-малка икономика от столицата. Разликата между най-развития (София-град) и най-изостаналия (Видин) в икономически план </w:t>
      </w:r>
      <w:r>
        <w:rPr>
          <w:rFonts w:ascii="Times New Roman" w:hAnsi="Times New Roman" w:cs="Times New Roman"/>
          <w:lang w:val="en-US"/>
        </w:rPr>
        <w:t xml:space="preserve">NUTS III </w:t>
      </w:r>
      <w:r>
        <w:rPr>
          <w:rFonts w:ascii="Times New Roman" w:hAnsi="Times New Roman" w:cs="Times New Roman"/>
        </w:rPr>
        <w:t>район нараства от 43 пъти през 2007</w:t>
      </w:r>
      <w:r>
        <w:rPr>
          <w:rFonts w:ascii="Times New Roman" w:hAnsi="Times New Roman" w:cs="Times New Roman"/>
          <w:lang w:val="en-US"/>
        </w:rPr>
        <w:t> </w:t>
      </w:r>
      <w:r>
        <w:rPr>
          <w:rFonts w:ascii="Times New Roman" w:hAnsi="Times New Roman" w:cs="Times New Roman"/>
        </w:rPr>
        <w:t xml:space="preserve">г. до 65 пъти през 2016 г. </w:t>
      </w:r>
      <w:r w:rsidRPr="00972EA6">
        <w:rPr>
          <w:rFonts w:ascii="Times New Roman" w:hAnsi="Times New Roman" w:cs="Times New Roman"/>
        </w:rPr>
        <w:t xml:space="preserve">Най-значително изоставане се наблюдава в областите Силистра, Сливен, Видин, </w:t>
      </w:r>
      <w:r>
        <w:rPr>
          <w:rFonts w:ascii="Times New Roman" w:hAnsi="Times New Roman" w:cs="Times New Roman"/>
        </w:rPr>
        <w:t xml:space="preserve">Перник и </w:t>
      </w:r>
      <w:r w:rsidRPr="00972EA6">
        <w:rPr>
          <w:rFonts w:ascii="Times New Roman" w:hAnsi="Times New Roman" w:cs="Times New Roman"/>
        </w:rPr>
        <w:t xml:space="preserve">Кърджали, където БВП на човек </w:t>
      </w:r>
      <w:r>
        <w:rPr>
          <w:rFonts w:ascii="Times New Roman" w:hAnsi="Times New Roman" w:cs="Times New Roman"/>
        </w:rPr>
        <w:t xml:space="preserve">от населението </w:t>
      </w:r>
      <w:r w:rsidRPr="00972EA6">
        <w:rPr>
          <w:rFonts w:ascii="Times New Roman" w:hAnsi="Times New Roman" w:cs="Times New Roman"/>
        </w:rPr>
        <w:t xml:space="preserve">е около </w:t>
      </w:r>
      <w:r>
        <w:rPr>
          <w:rFonts w:ascii="Times New Roman" w:hAnsi="Times New Roman" w:cs="Times New Roman"/>
        </w:rPr>
        <w:t>22-25</w:t>
      </w:r>
      <w:r w:rsidRPr="00972EA6">
        <w:rPr>
          <w:rFonts w:ascii="Times New Roman" w:hAnsi="Times New Roman" w:cs="Times New Roman"/>
        </w:rPr>
        <w:t xml:space="preserve">% от средното равнище за </w:t>
      </w:r>
      <w:r>
        <w:rPr>
          <w:rFonts w:ascii="Times New Roman" w:hAnsi="Times New Roman" w:cs="Times New Roman"/>
        </w:rPr>
        <w:t>ЕС</w:t>
      </w:r>
      <w:r w:rsidRPr="00972EA6">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CE37AD">
        <w:rPr>
          <w:rFonts w:ascii="Times New Roman" w:hAnsi="Times New Roman" w:cs="Times New Roman"/>
        </w:rPr>
        <w:t xml:space="preserve">Териториалните различия при създаването на БДС по основни икономически сектори, както в междурегионален, така и във вътрешно регионален план, са много високи и показват специализацията на отрасловата структура на районите. Югозападен район е с най-висок принос по отношение на сектора услуги, като районът формира 57.1% от БДС в този сектор през 2016 г. със сериозно засилване на специализацията му през последните десет години (+4.6 процентни пункта), за сметка на всички останали райони. Със сериозна разлика следват Южен Централен – 11.6% и Североизточен район – 10.1%. </w:t>
      </w:r>
      <w:r w:rsidRPr="00357397">
        <w:rPr>
          <w:rFonts w:ascii="Times New Roman" w:hAnsi="Times New Roman" w:cs="Times New Roman"/>
        </w:rPr>
        <w:t xml:space="preserve">По отношение на произведената БДС в индустрията, през разглеждания период се забелязва нарастваща специализация на Югоизточен район (+5.3 процентни пункта до 21.3%), който вече заема второ място в страната, успявайки да изпревари Южен централен район (18.8%), но все още оставайки далеч от Югозападен район, който запазва водещите си позиции в произведената БДС от индустрията, макар и </w:t>
      </w:r>
      <w:r>
        <w:rPr>
          <w:rFonts w:ascii="Times New Roman" w:hAnsi="Times New Roman" w:cs="Times New Roman"/>
        </w:rPr>
        <w:t xml:space="preserve">значително </w:t>
      </w:r>
      <w:r w:rsidRPr="00357397">
        <w:rPr>
          <w:rFonts w:ascii="Times New Roman" w:hAnsi="Times New Roman" w:cs="Times New Roman"/>
        </w:rPr>
        <w:t>намалявайки дела си (-4.7 процентни пункта до 31.7%). С най-висок принос в аграрния сектор са Южен Централен район, формиращ 20.5% от националната БДС в селското стопанство, и Северозападен район с 18.6%</w:t>
      </w:r>
      <w:r>
        <w:rPr>
          <w:rFonts w:ascii="Times New Roman" w:hAnsi="Times New Roman" w:cs="Times New Roman"/>
        </w:rPr>
        <w:t>.</w:t>
      </w:r>
    </w:p>
    <w:p w:rsidR="00AE0F90" w:rsidRPr="00B108A3" w:rsidRDefault="00AE0F90" w:rsidP="00AE0F90">
      <w:pPr>
        <w:pStyle w:val="ListParagraph"/>
        <w:spacing w:line="269" w:lineRule="auto"/>
        <w:ind w:left="0" w:firstLine="0"/>
        <w:contextualSpacing w:val="0"/>
        <w:jc w:val="both"/>
        <w:rPr>
          <w:rFonts w:ascii="Times New Roman" w:hAnsi="Times New Roman" w:cs="Times New Roman"/>
          <w:highlight w:val="yellow"/>
        </w:rPr>
      </w:pPr>
      <w:r w:rsidRPr="00A90951">
        <w:rPr>
          <w:rFonts w:ascii="Times New Roman" w:hAnsi="Times New Roman" w:cs="Times New Roman"/>
        </w:rPr>
        <w:t xml:space="preserve">Въпреки специалното третиране на Северозападен район при осъществяване на секторните национални политики, през последните десет години продължават негативните тенденции на задълбочаване на изостаналостта му спрямо останалите райони в страната в почти всички наблюдавани области на социално-икономическото развитие. Районът остава най-слабо населен, като се характеризира с най-ниска раждаемост и естествен прираст, при най-висока смъртност и най-ниска </w:t>
      </w:r>
      <w:r w:rsidRPr="00A90951">
        <w:rPr>
          <w:rFonts w:ascii="Times New Roman" w:hAnsi="Times New Roman" w:cs="Times New Roman"/>
        </w:rPr>
        <w:lastRenderedPageBreak/>
        <w:t>продължителност на живота. Образователните характеристики на населението продължават да са най-неблагоприятни, което логично рефлектира и в най-незавидни показатели на пазара на труда (най-висока безработица, най-ниски нива на икономическа активност и заетост) и в областта на икономика на знанието (най-ниски разходи за НИРД).</w:t>
      </w:r>
      <w:r>
        <w:rPr>
          <w:rFonts w:ascii="Times New Roman" w:hAnsi="Times New Roman" w:cs="Times New Roman"/>
        </w:rPr>
        <w:t xml:space="preserve"> Същевременно, нивото на предоставяните комунални услуги продължава да изостава от предлаганите условия за живот в другите региони на страната. Така например, </w:t>
      </w:r>
      <w:r w:rsidRPr="00290852">
        <w:rPr>
          <w:rFonts w:ascii="Times New Roman" w:hAnsi="Times New Roman" w:cs="Times New Roman"/>
        </w:rPr>
        <w:t xml:space="preserve">Северозападен район </w:t>
      </w:r>
      <w:r>
        <w:rPr>
          <w:rFonts w:ascii="Times New Roman" w:hAnsi="Times New Roman" w:cs="Times New Roman"/>
        </w:rPr>
        <w:t>е с най-висок дял на населението с режим на водоснабдяване (5.1% през 2016 г., спрямо средно 2.1% за страната), най-нисък дял на н</w:t>
      </w:r>
      <w:r w:rsidRPr="00290852">
        <w:rPr>
          <w:rFonts w:ascii="Times New Roman" w:hAnsi="Times New Roman" w:cs="Times New Roman"/>
        </w:rPr>
        <w:t>аселение</w:t>
      </w:r>
      <w:r>
        <w:rPr>
          <w:rFonts w:ascii="Times New Roman" w:hAnsi="Times New Roman" w:cs="Times New Roman"/>
        </w:rPr>
        <w:t>то,</w:t>
      </w:r>
      <w:r w:rsidRPr="00290852">
        <w:rPr>
          <w:rFonts w:ascii="Times New Roman" w:hAnsi="Times New Roman" w:cs="Times New Roman"/>
        </w:rPr>
        <w:t xml:space="preserve"> свързано с пречиствателни станции за отпадъчни води</w:t>
      </w:r>
      <w:r>
        <w:rPr>
          <w:rFonts w:ascii="Times New Roman" w:hAnsi="Times New Roman" w:cs="Times New Roman"/>
        </w:rPr>
        <w:t xml:space="preserve"> (43.7%</w:t>
      </w:r>
      <w:r w:rsidRPr="00290852">
        <w:t xml:space="preserve"> </w:t>
      </w:r>
      <w:r>
        <w:rPr>
          <w:rFonts w:ascii="Times New Roman" w:hAnsi="Times New Roman" w:cs="Times New Roman"/>
        </w:rPr>
        <w:t>през 2016 г., спрямо средно 63</w:t>
      </w:r>
      <w:r w:rsidRPr="00290852">
        <w:rPr>
          <w:rFonts w:ascii="Times New Roman" w:hAnsi="Times New Roman" w:cs="Times New Roman"/>
        </w:rPr>
        <w:t>.1% за страната</w:t>
      </w:r>
      <w:r>
        <w:rPr>
          <w:rFonts w:ascii="Times New Roman" w:hAnsi="Times New Roman" w:cs="Times New Roman"/>
        </w:rPr>
        <w:t xml:space="preserve">) и най-нисък дял на населението, </w:t>
      </w:r>
      <w:r w:rsidRPr="00290852">
        <w:rPr>
          <w:rFonts w:ascii="Times New Roman" w:hAnsi="Times New Roman" w:cs="Times New Roman"/>
        </w:rPr>
        <w:t>свързано с обществена канализация</w:t>
      </w:r>
      <w:r>
        <w:rPr>
          <w:rFonts w:ascii="Times New Roman" w:hAnsi="Times New Roman" w:cs="Times New Roman"/>
        </w:rPr>
        <w:t xml:space="preserve"> </w:t>
      </w:r>
      <w:r w:rsidRPr="00290852">
        <w:rPr>
          <w:rFonts w:ascii="Times New Roman" w:hAnsi="Times New Roman" w:cs="Times New Roman"/>
        </w:rPr>
        <w:t>(</w:t>
      </w:r>
      <w:r>
        <w:rPr>
          <w:rFonts w:ascii="Times New Roman" w:hAnsi="Times New Roman" w:cs="Times New Roman"/>
        </w:rPr>
        <w:t>58.9</w:t>
      </w:r>
      <w:r w:rsidRPr="00290852">
        <w:rPr>
          <w:rFonts w:ascii="Times New Roman" w:hAnsi="Times New Roman" w:cs="Times New Roman"/>
        </w:rPr>
        <w:t xml:space="preserve">% през 2016 г., спрямо средно </w:t>
      </w:r>
      <w:r>
        <w:rPr>
          <w:rFonts w:ascii="Times New Roman" w:hAnsi="Times New Roman" w:cs="Times New Roman"/>
        </w:rPr>
        <w:t>75.7</w:t>
      </w:r>
      <w:r w:rsidRPr="00290852">
        <w:rPr>
          <w:rFonts w:ascii="Times New Roman" w:hAnsi="Times New Roman" w:cs="Times New Roman"/>
        </w:rPr>
        <w:t>% за страната)</w:t>
      </w:r>
      <w:r>
        <w:rPr>
          <w:rFonts w:ascii="Times New Roman" w:hAnsi="Times New Roman" w:cs="Times New Roman"/>
        </w:rPr>
        <w:t>.</w:t>
      </w:r>
    </w:p>
    <w:p w:rsidR="00AE0F90" w:rsidRPr="007A27A8" w:rsidRDefault="00AE0F90" w:rsidP="00AE0F90">
      <w:pPr>
        <w:pStyle w:val="Heading3"/>
        <w:numPr>
          <w:ilvl w:val="2"/>
          <w:numId w:val="16"/>
        </w:numPr>
        <w:rPr>
          <w:color w:val="1F497D"/>
        </w:rPr>
      </w:pPr>
      <w:bookmarkStart w:id="37" w:name="_Toc791822"/>
      <w:r w:rsidRPr="007A27A8">
        <w:rPr>
          <w:color w:val="1F497D"/>
        </w:rPr>
        <w:t>Градски райони</w:t>
      </w:r>
      <w:bookmarkEnd w:id="37"/>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2A5672">
        <w:rPr>
          <w:rFonts w:ascii="Times New Roman" w:hAnsi="Times New Roman" w:cs="Times New Roman"/>
        </w:rPr>
        <w:t>Продължава тенденцията на урбанизация, като концентрацията на населението в град</w:t>
      </w:r>
      <w:r>
        <w:rPr>
          <w:rFonts w:ascii="Times New Roman" w:hAnsi="Times New Roman" w:cs="Times New Roman"/>
        </w:rPr>
        <w:t>овете</w:t>
      </w:r>
      <w:r w:rsidRPr="002A5672">
        <w:rPr>
          <w:rFonts w:ascii="Times New Roman" w:hAnsi="Times New Roman" w:cs="Times New Roman"/>
        </w:rPr>
        <w:t xml:space="preserve"> нараства допълнително и достига 73.4% през 2017 г., спрямо 70.7% през 2007 г.</w:t>
      </w:r>
      <w:r>
        <w:rPr>
          <w:rFonts w:ascii="Times New Roman" w:hAnsi="Times New Roman" w:cs="Times New Roman"/>
        </w:rPr>
        <w:t xml:space="preserve"> През периода населението в градовете намалява значително по-бавно (с 4.1%) от това в селските райони (с 16.1%), което довежда до нарастването на относителния му дял. Продължава и тенденцията големите градове и агломерациите да увеличават присъствието си, като през последните години 94%</w:t>
      </w:r>
      <w:r>
        <w:rPr>
          <w:rStyle w:val="FootnoteReference"/>
          <w:rFonts w:ascii="Times New Roman" w:hAnsi="Times New Roman" w:cs="Times New Roman"/>
        </w:rPr>
        <w:footnoteReference w:id="142"/>
      </w:r>
      <w:r>
        <w:rPr>
          <w:rFonts w:ascii="Times New Roman" w:hAnsi="Times New Roman" w:cs="Times New Roman"/>
        </w:rPr>
        <w:t xml:space="preserve"> от малките и средни градове намаляват населението си, докато големи градове като София и Варна регистрират абсолютно нарастване на жителите си. Същевременно се наблюдава засилване на привлекателността на градовете по крайбрежието на Черно море, като 8 от 13-те града, които увеличават населението си от началото на века са разположени там.</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1136E3">
        <w:rPr>
          <w:rFonts w:ascii="Times New Roman" w:hAnsi="Times New Roman" w:cs="Times New Roman"/>
        </w:rPr>
        <w:t>Въпреки намаляването на населението, повечето от градовете в България се разрастват. Според анализ на Световната банка</w:t>
      </w:r>
      <w:r w:rsidRPr="001136E3">
        <w:rPr>
          <w:rStyle w:val="FootnoteReference"/>
          <w:rFonts w:ascii="Times New Roman" w:hAnsi="Times New Roman" w:cs="Times New Roman"/>
        </w:rPr>
        <w:footnoteReference w:id="143"/>
      </w:r>
      <w:r w:rsidRPr="001136E3">
        <w:rPr>
          <w:rFonts w:ascii="Times New Roman" w:hAnsi="Times New Roman" w:cs="Times New Roman"/>
        </w:rPr>
        <w:t xml:space="preserve">, 88% от градовете в страната увеличават своята площ, като средното увеличение в периода 1996-2010 г. достига 16%. Най-значимо е нарастването при градовете, които са част от агломерации, при които средното разрастване достига 60%. Комбинацията от намаляването на населението и едновременното разрастване на градовете </w:t>
      </w:r>
      <w:proofErr w:type="spellStart"/>
      <w:r w:rsidRPr="001136E3">
        <w:rPr>
          <w:rFonts w:ascii="Times New Roman" w:hAnsi="Times New Roman" w:cs="Times New Roman"/>
        </w:rPr>
        <w:t>резултира</w:t>
      </w:r>
      <w:proofErr w:type="spellEnd"/>
      <w:r w:rsidRPr="001136E3">
        <w:rPr>
          <w:rFonts w:ascii="Times New Roman" w:hAnsi="Times New Roman" w:cs="Times New Roman"/>
        </w:rPr>
        <w:t xml:space="preserve"> в намаляване на плътността на населението в преобладаващата част от градската мрежа на страната.</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Въпреки продължаващи инвестиции, включително и със средства от ЕС, в рамките на интегрирани </w:t>
      </w:r>
      <w:r w:rsidRPr="005A1846">
        <w:rPr>
          <w:rFonts w:ascii="Times New Roman" w:hAnsi="Times New Roman" w:cs="Times New Roman"/>
        </w:rPr>
        <w:t xml:space="preserve">стратегии за </w:t>
      </w:r>
      <w:r w:rsidRPr="004F1F65">
        <w:rPr>
          <w:rFonts w:ascii="Times New Roman" w:hAnsi="Times New Roman" w:cs="Times New Roman"/>
        </w:rPr>
        <w:t>градско възстановяване и развитие</w:t>
      </w:r>
      <w:r w:rsidRPr="005A1846">
        <w:rPr>
          <w:rFonts w:ascii="Times New Roman" w:hAnsi="Times New Roman" w:cs="Times New Roman"/>
        </w:rPr>
        <w:t>, основн</w:t>
      </w:r>
      <w:r>
        <w:rPr>
          <w:rFonts w:ascii="Times New Roman" w:hAnsi="Times New Roman" w:cs="Times New Roman"/>
        </w:rPr>
        <w:t>и</w:t>
      </w:r>
      <w:r w:rsidRPr="005A1846">
        <w:rPr>
          <w:rFonts w:ascii="Times New Roman" w:hAnsi="Times New Roman" w:cs="Times New Roman"/>
        </w:rPr>
        <w:t xml:space="preserve"> проблем</w:t>
      </w:r>
      <w:r>
        <w:rPr>
          <w:rFonts w:ascii="Times New Roman" w:hAnsi="Times New Roman" w:cs="Times New Roman"/>
        </w:rPr>
        <w:t>и</w:t>
      </w:r>
      <w:r w:rsidRPr="005A1846">
        <w:rPr>
          <w:rFonts w:ascii="Times New Roman" w:hAnsi="Times New Roman" w:cs="Times New Roman"/>
        </w:rPr>
        <w:t xml:space="preserve"> пред развитието на градовете остава</w:t>
      </w:r>
      <w:r>
        <w:rPr>
          <w:rFonts w:ascii="Times New Roman" w:hAnsi="Times New Roman" w:cs="Times New Roman"/>
        </w:rPr>
        <w:t xml:space="preserve">т все </w:t>
      </w:r>
      <w:r w:rsidRPr="005A1846">
        <w:rPr>
          <w:rFonts w:ascii="Times New Roman" w:hAnsi="Times New Roman" w:cs="Times New Roman"/>
        </w:rPr>
        <w:t>още незадоволителното (на места) състояние на образователната, здравната, културната, спортната и техническата инфраструктура</w:t>
      </w:r>
      <w:r>
        <w:rPr>
          <w:rFonts w:ascii="Times New Roman" w:hAnsi="Times New Roman" w:cs="Times New Roman"/>
        </w:rPr>
        <w:t xml:space="preserve">. В редица случай предизвикателство остава и състоянието на </w:t>
      </w:r>
      <w:r w:rsidRPr="005A1846">
        <w:rPr>
          <w:rFonts w:ascii="Times New Roman" w:hAnsi="Times New Roman" w:cs="Times New Roman"/>
        </w:rPr>
        <w:t>физическата среда и благоустройството в градовете</w:t>
      </w:r>
      <w:r>
        <w:rPr>
          <w:rFonts w:ascii="Times New Roman" w:hAnsi="Times New Roman" w:cs="Times New Roman"/>
        </w:rPr>
        <w:t>, с негативни последици по отношение на атрактивността им</w:t>
      </w:r>
      <w:r w:rsidRPr="005A1846">
        <w:rPr>
          <w:rFonts w:ascii="Times New Roman" w:hAnsi="Times New Roman" w:cs="Times New Roman"/>
        </w:rPr>
        <w:t xml:space="preserve"> за инвестиции</w:t>
      </w:r>
      <w:r>
        <w:rPr>
          <w:rFonts w:ascii="Times New Roman" w:hAnsi="Times New Roman" w:cs="Times New Roman"/>
        </w:rPr>
        <w:t>,</w:t>
      </w:r>
      <w:r w:rsidRPr="005A1846">
        <w:rPr>
          <w:rFonts w:ascii="Times New Roman" w:hAnsi="Times New Roman" w:cs="Times New Roman"/>
        </w:rPr>
        <w:t xml:space="preserve"> </w:t>
      </w:r>
      <w:r>
        <w:rPr>
          <w:rFonts w:ascii="Times New Roman" w:hAnsi="Times New Roman" w:cs="Times New Roman"/>
        </w:rPr>
        <w:t xml:space="preserve">привличане на туристи и задържане на жители. Остават недостатъчни </w:t>
      </w:r>
      <w:r w:rsidRPr="005A1846">
        <w:rPr>
          <w:rFonts w:ascii="Times New Roman" w:hAnsi="Times New Roman" w:cs="Times New Roman"/>
        </w:rPr>
        <w:t>възможностите за спорт, отдих и възстановяване</w:t>
      </w:r>
      <w:r>
        <w:rPr>
          <w:rFonts w:ascii="Times New Roman" w:hAnsi="Times New Roman" w:cs="Times New Roman"/>
        </w:rPr>
        <w:t xml:space="preserve"> (вж. част 2.2.3). Лошото качество на пътната настилка на пътищата от III клас и особено на тези от общинската пътна мрежа (вж. част 2.6), продължава да е значима бариера пред достъпността и свързаността на градовете, а следователно и пред привличането на повече инвестиции и по-големи </w:t>
      </w:r>
      <w:proofErr w:type="spellStart"/>
      <w:r>
        <w:rPr>
          <w:rFonts w:ascii="Times New Roman" w:hAnsi="Times New Roman" w:cs="Times New Roman"/>
        </w:rPr>
        <w:t>туристо</w:t>
      </w:r>
      <w:proofErr w:type="spellEnd"/>
      <w:r>
        <w:rPr>
          <w:rFonts w:ascii="Times New Roman" w:hAnsi="Times New Roman" w:cs="Times New Roman"/>
        </w:rPr>
        <w:t>-потоци. Н</w:t>
      </w:r>
      <w:r w:rsidRPr="005A1846">
        <w:rPr>
          <w:rFonts w:ascii="Times New Roman" w:hAnsi="Times New Roman" w:cs="Times New Roman"/>
        </w:rPr>
        <w:t>иска</w:t>
      </w:r>
      <w:r>
        <w:rPr>
          <w:rFonts w:ascii="Times New Roman" w:hAnsi="Times New Roman" w:cs="Times New Roman"/>
        </w:rPr>
        <w:t>та</w:t>
      </w:r>
      <w:r w:rsidRPr="005A1846">
        <w:rPr>
          <w:rFonts w:ascii="Times New Roman" w:hAnsi="Times New Roman" w:cs="Times New Roman"/>
        </w:rPr>
        <w:t xml:space="preserve"> енергийна ефективност</w:t>
      </w:r>
      <w:r>
        <w:rPr>
          <w:rFonts w:ascii="Times New Roman" w:hAnsi="Times New Roman" w:cs="Times New Roman"/>
        </w:rPr>
        <w:t xml:space="preserve"> на </w:t>
      </w:r>
      <w:proofErr w:type="spellStart"/>
      <w:r w:rsidRPr="005A1846">
        <w:rPr>
          <w:rFonts w:ascii="Times New Roman" w:hAnsi="Times New Roman" w:cs="Times New Roman"/>
        </w:rPr>
        <w:t>многофамилни</w:t>
      </w:r>
      <w:r>
        <w:rPr>
          <w:rFonts w:ascii="Times New Roman" w:hAnsi="Times New Roman" w:cs="Times New Roman"/>
        </w:rPr>
        <w:t>те</w:t>
      </w:r>
      <w:proofErr w:type="spellEnd"/>
      <w:r w:rsidRPr="005A1846">
        <w:rPr>
          <w:rFonts w:ascii="Times New Roman" w:hAnsi="Times New Roman" w:cs="Times New Roman"/>
        </w:rPr>
        <w:t xml:space="preserve"> жилищни сгради</w:t>
      </w:r>
      <w:r>
        <w:rPr>
          <w:rFonts w:ascii="Times New Roman" w:hAnsi="Times New Roman" w:cs="Times New Roman"/>
        </w:rPr>
        <w:t xml:space="preserve"> (с концентрация в големите градове) в значителна степен остава нерешен проблем</w:t>
      </w:r>
      <w:r>
        <w:rPr>
          <w:rFonts w:ascii="Times New Roman" w:hAnsi="Times New Roman" w:cs="Times New Roman"/>
          <w:lang w:val="en-US"/>
        </w:rPr>
        <w:t xml:space="preserve"> </w:t>
      </w:r>
      <w:r>
        <w:rPr>
          <w:rFonts w:ascii="Times New Roman" w:hAnsi="Times New Roman" w:cs="Times New Roman"/>
        </w:rPr>
        <w:t>(вж. част 2.5.4).</w:t>
      </w:r>
      <w:r w:rsidRPr="008D6E51">
        <w:rPr>
          <w:rFonts w:ascii="Times New Roman" w:hAnsi="Times New Roman" w:cs="Times New Roman"/>
        </w:rPr>
        <w:t xml:space="preserve"> </w:t>
      </w:r>
      <w:r w:rsidRPr="005A1846">
        <w:rPr>
          <w:rFonts w:ascii="Times New Roman" w:hAnsi="Times New Roman" w:cs="Times New Roman"/>
        </w:rPr>
        <w:t>Основ</w:t>
      </w:r>
      <w:r>
        <w:rPr>
          <w:rFonts w:ascii="Times New Roman" w:hAnsi="Times New Roman" w:cs="Times New Roman"/>
        </w:rPr>
        <w:t>е</w:t>
      </w:r>
      <w:r w:rsidRPr="005A1846">
        <w:rPr>
          <w:rFonts w:ascii="Times New Roman" w:hAnsi="Times New Roman" w:cs="Times New Roman"/>
        </w:rPr>
        <w:t>н</w:t>
      </w:r>
      <w:r>
        <w:rPr>
          <w:rFonts w:ascii="Times New Roman" w:hAnsi="Times New Roman" w:cs="Times New Roman"/>
        </w:rPr>
        <w:t xml:space="preserve"> и задълбочаващ се </w:t>
      </w:r>
      <w:r w:rsidRPr="005A1846">
        <w:rPr>
          <w:rFonts w:ascii="Times New Roman" w:hAnsi="Times New Roman" w:cs="Times New Roman"/>
        </w:rPr>
        <w:t>екологич</w:t>
      </w:r>
      <w:r>
        <w:rPr>
          <w:rFonts w:ascii="Times New Roman" w:hAnsi="Times New Roman" w:cs="Times New Roman"/>
        </w:rPr>
        <w:t>е</w:t>
      </w:r>
      <w:r w:rsidRPr="005A1846">
        <w:rPr>
          <w:rFonts w:ascii="Times New Roman" w:hAnsi="Times New Roman" w:cs="Times New Roman"/>
        </w:rPr>
        <w:t>н проблем</w:t>
      </w:r>
      <w:r>
        <w:rPr>
          <w:rFonts w:ascii="Times New Roman" w:hAnsi="Times New Roman" w:cs="Times New Roman"/>
        </w:rPr>
        <w:t xml:space="preserve"> е</w:t>
      </w:r>
      <w:r w:rsidRPr="005A1846">
        <w:rPr>
          <w:rFonts w:ascii="Times New Roman" w:hAnsi="Times New Roman" w:cs="Times New Roman"/>
        </w:rPr>
        <w:t xml:space="preserve"> замърсяването на въздуха </w:t>
      </w:r>
      <w:r>
        <w:rPr>
          <w:rFonts w:ascii="Times New Roman" w:hAnsi="Times New Roman" w:cs="Times New Roman"/>
        </w:rPr>
        <w:t>(вж. част 2.7)</w:t>
      </w:r>
      <w:r w:rsidRPr="005A1846">
        <w:rPr>
          <w:rFonts w:ascii="Times New Roman" w:hAnsi="Times New Roman" w:cs="Times New Roman"/>
        </w:rPr>
        <w:t>.</w:t>
      </w:r>
      <w:r>
        <w:rPr>
          <w:rFonts w:ascii="Times New Roman" w:hAnsi="Times New Roman" w:cs="Times New Roman"/>
        </w:rPr>
        <w:t xml:space="preserve"> Разрастването на градовете, </w:t>
      </w:r>
      <w:r w:rsidRPr="008D6E51">
        <w:rPr>
          <w:rFonts w:ascii="Times New Roman" w:hAnsi="Times New Roman" w:cs="Times New Roman"/>
        </w:rPr>
        <w:t>водещо до растеж на градските пътувания в по-големите агломерации, в комбинация с ниско качество на транспортните услуги</w:t>
      </w:r>
      <w:r>
        <w:rPr>
          <w:rFonts w:ascii="Times New Roman" w:hAnsi="Times New Roman" w:cs="Times New Roman"/>
        </w:rPr>
        <w:t>,</w:t>
      </w:r>
      <w:r w:rsidRPr="008D6E51">
        <w:rPr>
          <w:rFonts w:ascii="Times New Roman" w:hAnsi="Times New Roman" w:cs="Times New Roman"/>
        </w:rPr>
        <w:t xml:space="preserve"> повишена употреба на автомобили, задръствания и вредно екологично въздействие</w:t>
      </w:r>
      <w:r>
        <w:rPr>
          <w:rFonts w:ascii="Times New Roman" w:hAnsi="Times New Roman" w:cs="Times New Roman"/>
        </w:rPr>
        <w:t>, продължава да е сериозно предизвикателство</w:t>
      </w:r>
      <w:r w:rsidRPr="008D6E51">
        <w:rPr>
          <w:rFonts w:ascii="Times New Roman" w:hAnsi="Times New Roman" w:cs="Times New Roman"/>
        </w:rPr>
        <w:t>.</w:t>
      </w:r>
      <w:r>
        <w:rPr>
          <w:rFonts w:ascii="Times New Roman" w:hAnsi="Times New Roman" w:cs="Times New Roman"/>
        </w:rPr>
        <w:t xml:space="preserve"> Развитието на мрежата на метрото в столицата и обновяването на парка с превозни средства на компаниите за градски транспорт в някои от големите градове са позитивни примери за удачно адресиране на това предизвикателство, указвайки посоката, в която следва да продължат усилията. </w:t>
      </w:r>
    </w:p>
    <w:p w:rsidR="00AE0F90" w:rsidRPr="000C13A7" w:rsidRDefault="00AE0F90" w:rsidP="00AE0F90">
      <w:pPr>
        <w:pStyle w:val="Heading3"/>
        <w:numPr>
          <w:ilvl w:val="2"/>
          <w:numId w:val="16"/>
        </w:numPr>
        <w:rPr>
          <w:color w:val="1F497D"/>
        </w:rPr>
      </w:pPr>
      <w:bookmarkStart w:id="38" w:name="_Toc791823"/>
      <w:r w:rsidRPr="000C13A7">
        <w:rPr>
          <w:color w:val="1F497D"/>
        </w:rPr>
        <w:lastRenderedPageBreak/>
        <w:t>Селски райони</w:t>
      </w:r>
      <w:bookmarkEnd w:id="38"/>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Според използваната в страната дефиниция, селските райони обхващат общините, в които няма населено място с население над 30 хил. души. По данни от последното национално преброяване селските райони покриват </w:t>
      </w:r>
      <w:r w:rsidRPr="00D62391">
        <w:rPr>
          <w:rFonts w:ascii="Times New Roman" w:hAnsi="Times New Roman" w:cs="Times New Roman"/>
        </w:rPr>
        <w:t>81% от територията на страната, 39% от населението и 78% от всички селища</w:t>
      </w:r>
      <w:r>
        <w:rPr>
          <w:rFonts w:ascii="Times New Roman" w:hAnsi="Times New Roman" w:cs="Times New Roman"/>
        </w:rPr>
        <w:t>, като</w:t>
      </w:r>
      <w:r w:rsidRPr="00D62391">
        <w:rPr>
          <w:rFonts w:ascii="Times New Roman" w:hAnsi="Times New Roman" w:cs="Times New Roman"/>
        </w:rPr>
        <w:t xml:space="preserve"> са разпределени относително равномерно на територията на цялата страна</w:t>
      </w:r>
      <w:r>
        <w:rPr>
          <w:rFonts w:ascii="Times New Roman" w:hAnsi="Times New Roman" w:cs="Times New Roman"/>
        </w:rPr>
        <w:t>. Гъстотата на населението е два пъти по-ниска от средната за страната, при значително по-неблагоприятна възрастова и образователна структура. Това предопределя и по-неблагоприятна позиция по отношение на пазара на труда, при по-нисък дял на населението в трудоспособна възраст, по-ниски нива на икономическата активност и заетост, по-висока норма на безработица и по-ниска производителност спрямо наблюдаваните в градските райони и средните за страната.</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Продължаващите процеси на обезлюдяване на част от селските райони, съчетани с реформите в образователната система и в сферата на здравеопазването, ориентирани към повишаването на ефективността на предлаганите публични услуги, </w:t>
      </w:r>
      <w:proofErr w:type="spellStart"/>
      <w:r>
        <w:rPr>
          <w:rFonts w:ascii="Times New Roman" w:hAnsi="Times New Roman" w:cs="Times New Roman"/>
        </w:rPr>
        <w:t>резултират</w:t>
      </w:r>
      <w:proofErr w:type="spellEnd"/>
      <w:r>
        <w:rPr>
          <w:rFonts w:ascii="Times New Roman" w:hAnsi="Times New Roman" w:cs="Times New Roman"/>
        </w:rPr>
        <w:t xml:space="preserve"> в ограничаване на достъпа на населението в тях до медицински грижи и образование. Закриването на болнични заведения, детски градини и училища намалява достъпа на населението до </w:t>
      </w:r>
      <w:r w:rsidRPr="003225E2">
        <w:rPr>
          <w:rFonts w:ascii="Times New Roman" w:hAnsi="Times New Roman" w:cs="Times New Roman"/>
        </w:rPr>
        <w:t xml:space="preserve">специализирани медицински </w:t>
      </w:r>
      <w:r>
        <w:rPr>
          <w:rFonts w:ascii="Times New Roman" w:hAnsi="Times New Roman" w:cs="Times New Roman"/>
        </w:rPr>
        <w:t xml:space="preserve">и образователни </w:t>
      </w:r>
      <w:r w:rsidRPr="003225E2">
        <w:rPr>
          <w:rFonts w:ascii="Times New Roman" w:hAnsi="Times New Roman" w:cs="Times New Roman"/>
        </w:rPr>
        <w:t>услуги</w:t>
      </w:r>
      <w:r>
        <w:rPr>
          <w:rFonts w:ascii="Times New Roman" w:hAnsi="Times New Roman" w:cs="Times New Roman"/>
        </w:rPr>
        <w:t xml:space="preserve">. </w:t>
      </w:r>
      <w:r w:rsidRPr="003225E2">
        <w:rPr>
          <w:rFonts w:ascii="Times New Roman" w:hAnsi="Times New Roman" w:cs="Times New Roman"/>
        </w:rPr>
        <w:t>Преобладаващо</w:t>
      </w:r>
      <w:r>
        <w:rPr>
          <w:rFonts w:ascii="Times New Roman" w:hAnsi="Times New Roman" w:cs="Times New Roman"/>
        </w:rPr>
        <w:t xml:space="preserve"> </w:t>
      </w:r>
      <w:r w:rsidRPr="003225E2">
        <w:rPr>
          <w:rFonts w:ascii="Times New Roman" w:hAnsi="Times New Roman" w:cs="Times New Roman"/>
        </w:rPr>
        <w:t>здравното обслужване на населението в населените места извън общинските центрове се извършва от спешната медицинска помощ</w:t>
      </w:r>
      <w:r>
        <w:rPr>
          <w:rFonts w:ascii="Times New Roman" w:hAnsi="Times New Roman" w:cs="Times New Roman"/>
        </w:rPr>
        <w:t>.</w:t>
      </w:r>
      <w:r w:rsidRPr="003225E2">
        <w:t xml:space="preserve"> </w:t>
      </w:r>
      <w:r w:rsidRPr="003225E2">
        <w:rPr>
          <w:rFonts w:ascii="Times New Roman" w:hAnsi="Times New Roman" w:cs="Times New Roman"/>
        </w:rPr>
        <w:t xml:space="preserve">Намаленият брой болнични заведения се компенсира със завишаване броя на лечебни заведения за извън болнична помощ, където качеството на услугите е незадоволително поради не добре развитата здравна инфраструктура/оборудване, намаления брой медицински специалисти, </w:t>
      </w:r>
      <w:proofErr w:type="spellStart"/>
      <w:r w:rsidRPr="003225E2">
        <w:rPr>
          <w:rFonts w:ascii="Times New Roman" w:hAnsi="Times New Roman" w:cs="Times New Roman"/>
        </w:rPr>
        <w:t>неприлагане</w:t>
      </w:r>
      <w:proofErr w:type="spellEnd"/>
      <w:r w:rsidRPr="003225E2">
        <w:rPr>
          <w:rFonts w:ascii="Times New Roman" w:hAnsi="Times New Roman" w:cs="Times New Roman"/>
        </w:rPr>
        <w:t xml:space="preserve"> на профилактика и </w:t>
      </w:r>
      <w:r>
        <w:rPr>
          <w:rFonts w:ascii="Times New Roman" w:hAnsi="Times New Roman" w:cs="Times New Roman"/>
        </w:rPr>
        <w:t xml:space="preserve">все още </w:t>
      </w:r>
      <w:r w:rsidRPr="003225E2">
        <w:rPr>
          <w:rFonts w:ascii="Times New Roman" w:hAnsi="Times New Roman" w:cs="Times New Roman"/>
        </w:rPr>
        <w:t xml:space="preserve">неразвитата мобилна здравна услуга. </w:t>
      </w:r>
      <w:r>
        <w:rPr>
          <w:rFonts w:ascii="Times New Roman" w:hAnsi="Times New Roman" w:cs="Times New Roman"/>
        </w:rPr>
        <w:t xml:space="preserve">Всичко това компрометира </w:t>
      </w:r>
      <w:r w:rsidRPr="003225E2">
        <w:rPr>
          <w:rFonts w:ascii="Times New Roman" w:hAnsi="Times New Roman" w:cs="Times New Roman"/>
        </w:rPr>
        <w:t>качеств</w:t>
      </w:r>
      <w:r>
        <w:rPr>
          <w:rFonts w:ascii="Times New Roman" w:hAnsi="Times New Roman" w:cs="Times New Roman"/>
        </w:rPr>
        <w:t xml:space="preserve">ото на предоставяната </w:t>
      </w:r>
      <w:r w:rsidRPr="003225E2">
        <w:rPr>
          <w:rFonts w:ascii="Times New Roman" w:hAnsi="Times New Roman" w:cs="Times New Roman"/>
        </w:rPr>
        <w:t>здравна услуга особено за хронично болните и за по-големия процент застаряващо населен</w:t>
      </w:r>
      <w:r>
        <w:rPr>
          <w:rFonts w:ascii="Times New Roman" w:hAnsi="Times New Roman" w:cs="Times New Roman"/>
        </w:rPr>
        <w:t xml:space="preserve">ие в селата и селските райони. Същото важи и за сферата на образованието, като се наблюдава намаляване на записването в различните нива на образователната система и високи стойности на напусналите училище, достигащи през 2017 г. нива около 7 пъти по-високи от тези в градовете и около 2.5 пъти по-високи от средните за селските райони в ЕС (вж. част 2.2.2). Същевременно възможностите за наваксване на пропуските в образователните характеристики на населението чрез различни форми на УЦЖ почти не се използват, като към 2017 г. едва </w:t>
      </w:r>
      <w:r w:rsidRPr="007359D7">
        <w:rPr>
          <w:rFonts w:ascii="Times New Roman" w:hAnsi="Times New Roman" w:cs="Times New Roman"/>
        </w:rPr>
        <w:t>4.2% от възрастното население</w:t>
      </w:r>
      <w:r>
        <w:rPr>
          <w:rStyle w:val="FootnoteReference"/>
          <w:rFonts w:ascii="Times New Roman" w:hAnsi="Times New Roman" w:cs="Times New Roman"/>
        </w:rPr>
        <w:footnoteReference w:id="144"/>
      </w:r>
      <w:r>
        <w:rPr>
          <w:rFonts w:ascii="Times New Roman" w:hAnsi="Times New Roman" w:cs="Times New Roman"/>
        </w:rPr>
        <w:t xml:space="preserve"> </w:t>
      </w:r>
      <w:r w:rsidRPr="007359D7">
        <w:rPr>
          <w:rFonts w:ascii="Times New Roman" w:hAnsi="Times New Roman" w:cs="Times New Roman"/>
        </w:rPr>
        <w:t>участва в УЦЖ (</w:t>
      </w:r>
      <w:r>
        <w:rPr>
          <w:rFonts w:ascii="Times New Roman" w:hAnsi="Times New Roman" w:cs="Times New Roman"/>
        </w:rPr>
        <w:t>сравнено с</w:t>
      </w:r>
      <w:r w:rsidRPr="007359D7">
        <w:rPr>
          <w:rFonts w:ascii="Times New Roman" w:hAnsi="Times New Roman" w:cs="Times New Roman"/>
        </w:rPr>
        <w:t xml:space="preserve"> 13.7% средно за селските райони на ЕС</w:t>
      </w:r>
      <w:r>
        <w:rPr>
          <w:rFonts w:ascii="Times New Roman" w:hAnsi="Times New Roman" w:cs="Times New Roman"/>
        </w:rPr>
        <w:t xml:space="preserve"> и два и половина по-високо ниво на участие </w:t>
      </w:r>
      <w:r w:rsidRPr="007359D7">
        <w:rPr>
          <w:rFonts w:ascii="Times New Roman" w:hAnsi="Times New Roman" w:cs="Times New Roman"/>
        </w:rPr>
        <w:t>някаква форма на обучение или образование в градове</w:t>
      </w:r>
      <w:r>
        <w:rPr>
          <w:rFonts w:ascii="Times New Roman" w:hAnsi="Times New Roman" w:cs="Times New Roman"/>
        </w:rPr>
        <w:t>те в страната).</w:t>
      </w:r>
      <w:r w:rsidRPr="007359D7">
        <w:rPr>
          <w:rFonts w:ascii="Times New Roman" w:hAnsi="Times New Roman" w:cs="Times New Roman"/>
        </w:rPr>
        <w:t xml:space="preserve"> </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Неблагоприятната образователна структура на населението в селските райони и свързаната с това неблагоприятна позиция по отношение на пазара на труда, рефлектира и в значително по-висок риск от бедност, спрямо градските райони.</w:t>
      </w:r>
      <w:r w:rsidRPr="00206AB8">
        <w:t xml:space="preserve"> </w:t>
      </w:r>
      <w:proofErr w:type="spellStart"/>
      <w:r w:rsidRPr="00206AB8">
        <w:rPr>
          <w:rFonts w:ascii="Times New Roman" w:hAnsi="Times New Roman" w:cs="Times New Roman"/>
        </w:rPr>
        <w:t>Медианният</w:t>
      </w:r>
      <w:proofErr w:type="spellEnd"/>
      <w:r w:rsidRPr="00206AB8">
        <w:rPr>
          <w:rFonts w:ascii="Times New Roman" w:hAnsi="Times New Roman" w:cs="Times New Roman"/>
        </w:rPr>
        <w:t xml:space="preserve"> доход в селските райони като процент от доходите в градските райони (60.0%) изостава съществено от средната стойност в ЕС (82.9%), като единствено в Румъния се наблюдава по-високо неравенство в доходите между селските и градски райони.</w:t>
      </w:r>
      <w:r>
        <w:rPr>
          <w:rFonts w:ascii="Times New Roman" w:hAnsi="Times New Roman" w:cs="Times New Roman"/>
        </w:rPr>
        <w:t xml:space="preserve"> Въпреки по-високия риск от бедност, продължават предизвикателствата по отношение на достъпа до социални услуги. </w:t>
      </w:r>
      <w:r w:rsidRPr="00206AB8">
        <w:rPr>
          <w:rFonts w:ascii="Times New Roman" w:hAnsi="Times New Roman" w:cs="Times New Roman"/>
        </w:rPr>
        <w:t xml:space="preserve">Самонаетите лица и сезонните работници нямат достъп до закрила при безработица. Всеки десети нает е изложен на риск да не получи право на обезщетения за болест или обезщетения за безработица, като особено тревожно е положението на работниците, заети в домашно или </w:t>
      </w:r>
      <w:proofErr w:type="spellStart"/>
      <w:r w:rsidRPr="00206AB8">
        <w:rPr>
          <w:rFonts w:ascii="Times New Roman" w:hAnsi="Times New Roman" w:cs="Times New Roman"/>
        </w:rPr>
        <w:t>полупазарно</w:t>
      </w:r>
      <w:proofErr w:type="spellEnd"/>
      <w:r w:rsidRPr="00206AB8">
        <w:rPr>
          <w:rFonts w:ascii="Times New Roman" w:hAnsi="Times New Roman" w:cs="Times New Roman"/>
        </w:rPr>
        <w:t xml:space="preserve"> земеделие</w:t>
      </w:r>
      <w:r>
        <w:rPr>
          <w:rFonts w:ascii="Times New Roman" w:hAnsi="Times New Roman" w:cs="Times New Roman"/>
        </w:rPr>
        <w:t xml:space="preserve"> (вж. част 2.2.5). Съществен </w:t>
      </w:r>
      <w:proofErr w:type="spellStart"/>
      <w:r>
        <w:rPr>
          <w:rFonts w:ascii="Times New Roman" w:hAnsi="Times New Roman" w:cs="Times New Roman"/>
        </w:rPr>
        <w:t>детерминант</w:t>
      </w:r>
      <w:proofErr w:type="spellEnd"/>
      <w:r>
        <w:rPr>
          <w:rFonts w:ascii="Times New Roman" w:hAnsi="Times New Roman" w:cs="Times New Roman"/>
        </w:rPr>
        <w:t xml:space="preserve"> на по-високия риск от бедност в селските райони остава продължаващата слаба диверсификация на икономиката в тях.</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8C032B">
        <w:rPr>
          <w:rFonts w:ascii="Times New Roman" w:hAnsi="Times New Roman" w:cs="Times New Roman"/>
        </w:rPr>
        <w:t>Въпреки позитивните развития през последните години, селските райони в страната продължават да изостават по отношение на изграждане на икономика на знанието и цифровизацията. През 201</w:t>
      </w:r>
      <w:r>
        <w:rPr>
          <w:rFonts w:ascii="Times New Roman" w:hAnsi="Times New Roman" w:cs="Times New Roman"/>
        </w:rPr>
        <w:t>7</w:t>
      </w:r>
      <w:r w:rsidRPr="008C032B">
        <w:rPr>
          <w:rFonts w:ascii="Times New Roman" w:hAnsi="Times New Roman" w:cs="Times New Roman"/>
        </w:rPr>
        <w:t xml:space="preserve"> г. покритието с фиксирани широколентови мрежи обхваща едва 82% от населението в селските райони (спрямо 92% в селските райони на ЕС и 95% средно за България)</w:t>
      </w:r>
      <w:r>
        <w:rPr>
          <w:rFonts w:ascii="Times New Roman" w:hAnsi="Times New Roman" w:cs="Times New Roman"/>
        </w:rPr>
        <w:t xml:space="preserve"> – вж. част 2.3.2</w:t>
      </w:r>
      <w:r w:rsidRPr="008C032B">
        <w:rPr>
          <w:rFonts w:ascii="Times New Roman" w:hAnsi="Times New Roman" w:cs="Times New Roman"/>
        </w:rPr>
        <w:t>.</w:t>
      </w:r>
      <w:r>
        <w:rPr>
          <w:rFonts w:ascii="Times New Roman" w:hAnsi="Times New Roman" w:cs="Times New Roman"/>
        </w:rPr>
        <w:t xml:space="preserve"> Едва ¼ от населението на селските райони в страната има достъп до мрежи от следващо поколение, изоставайки двойно от </w:t>
      </w:r>
      <w:r>
        <w:rPr>
          <w:rFonts w:ascii="Times New Roman" w:hAnsi="Times New Roman" w:cs="Times New Roman"/>
        </w:rPr>
        <w:lastRenderedPageBreak/>
        <w:t xml:space="preserve">нивото в селските райони на общността и тройно от нивото в градовете на България. Значително предизвикателство е изключително ниското ниво на притежавани умения </w:t>
      </w:r>
      <w:r w:rsidRPr="00D20D63">
        <w:rPr>
          <w:rFonts w:ascii="Times New Roman" w:hAnsi="Times New Roman" w:cs="Times New Roman"/>
        </w:rPr>
        <w:t>в областта на цифровите технологии</w:t>
      </w:r>
      <w:r>
        <w:rPr>
          <w:rFonts w:ascii="Times New Roman" w:hAnsi="Times New Roman" w:cs="Times New Roman"/>
        </w:rPr>
        <w:t xml:space="preserve">. През 2017 г. едва </w:t>
      </w:r>
      <w:r w:rsidRPr="00D20D63">
        <w:rPr>
          <w:rFonts w:ascii="Times New Roman" w:hAnsi="Times New Roman" w:cs="Times New Roman"/>
        </w:rPr>
        <w:t>15%</w:t>
      </w:r>
      <w:r>
        <w:rPr>
          <w:rStyle w:val="FootnoteReference"/>
          <w:rFonts w:ascii="Times New Roman" w:hAnsi="Times New Roman" w:cs="Times New Roman"/>
        </w:rPr>
        <w:footnoteReference w:id="145"/>
      </w:r>
      <w:r w:rsidRPr="00D20D63">
        <w:rPr>
          <w:rFonts w:ascii="Times New Roman" w:hAnsi="Times New Roman" w:cs="Times New Roman"/>
        </w:rPr>
        <w:t xml:space="preserve"> от населението в </w:t>
      </w:r>
      <w:proofErr w:type="spellStart"/>
      <w:r w:rsidRPr="00D20D63">
        <w:rPr>
          <w:rFonts w:ascii="Times New Roman" w:hAnsi="Times New Roman" w:cs="Times New Roman"/>
        </w:rPr>
        <w:t>слабонаселените</w:t>
      </w:r>
      <w:proofErr w:type="spellEnd"/>
      <w:r w:rsidRPr="00D20D63">
        <w:rPr>
          <w:rFonts w:ascii="Times New Roman" w:hAnsi="Times New Roman" w:cs="Times New Roman"/>
        </w:rPr>
        <w:t xml:space="preserve"> райони на страната има поне базисно ниво на умения в областта на цифровите технологии, сравнено с 49% средно за ЕС</w:t>
      </w:r>
      <w:r>
        <w:rPr>
          <w:rFonts w:ascii="Times New Roman" w:hAnsi="Times New Roman" w:cs="Times New Roman"/>
        </w:rPr>
        <w:t>.</w:t>
      </w:r>
    </w:p>
    <w:p w:rsidR="00AE0F90" w:rsidRDefault="00AE0F90" w:rsidP="00AE0F90">
      <w:pPr>
        <w:pStyle w:val="ListParagraph"/>
        <w:spacing w:line="269" w:lineRule="auto"/>
        <w:ind w:left="0" w:firstLine="0"/>
        <w:contextualSpacing w:val="0"/>
        <w:jc w:val="both"/>
        <w:rPr>
          <w:rFonts w:ascii="Times New Roman" w:hAnsi="Times New Roman" w:cs="Times New Roman"/>
        </w:rPr>
      </w:pPr>
      <w:r w:rsidRPr="00566892">
        <w:rPr>
          <w:rFonts w:ascii="Times New Roman" w:hAnsi="Times New Roman" w:cs="Times New Roman"/>
        </w:rPr>
        <w:t xml:space="preserve">Със средства по Програмата за развитие на селските райони се извършва реконструкция и рехабилитация на пътната мрежа в селските райони, но нуждата от инвестиции за осигуряване на достъпност и подобряване на свързаността на районите остава голяма предвид лошото състояние на пътната настилка (вж. част 2.6), резултат от лошата поддръжка и липсата на средства в общинските бюджети. Подобно е положението и с водоснабдителната мрежа в селските общини, обхващаща над 40 </w:t>
      </w:r>
      <w:proofErr w:type="spellStart"/>
      <w:r w:rsidRPr="00566892">
        <w:rPr>
          <w:rFonts w:ascii="Times New Roman" w:hAnsi="Times New Roman" w:cs="Times New Roman"/>
        </w:rPr>
        <w:t>хил.км</w:t>
      </w:r>
      <w:proofErr w:type="spellEnd"/>
      <w:r w:rsidRPr="00566892">
        <w:rPr>
          <w:rFonts w:ascii="Times New Roman" w:hAnsi="Times New Roman" w:cs="Times New Roman"/>
        </w:rPr>
        <w:t xml:space="preserve">.  Преобладаващата част от нея е изградена преди повече от 40 години, като поради лошата поддръжка страда от чести повреди, ниска ефективност и големи загуби на вода в следствие на течове. При това повече от 2/3 от мрежата е изградена с </w:t>
      </w:r>
      <w:proofErr w:type="spellStart"/>
      <w:r w:rsidRPr="00566892">
        <w:rPr>
          <w:rFonts w:ascii="Times New Roman" w:hAnsi="Times New Roman" w:cs="Times New Roman"/>
        </w:rPr>
        <w:t>азбестоциментови</w:t>
      </w:r>
      <w:proofErr w:type="spellEnd"/>
      <w:r w:rsidRPr="00566892">
        <w:rPr>
          <w:rFonts w:ascii="Times New Roman" w:hAnsi="Times New Roman" w:cs="Times New Roman"/>
        </w:rPr>
        <w:t xml:space="preserve"> тръби, които трябва да бъдат подменени. Друг значителен проблем в селските райони е неразвитата канализационна мрежа, особено в селата (само 2.1% от селата имат канализация).</w:t>
      </w:r>
    </w:p>
    <w:p w:rsidR="00AE0F90" w:rsidRPr="00566892" w:rsidRDefault="00AE0F90"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Въпреки предпоставките за по-бурно развитие на туризма в селските райони, произтичащи от голямото многообразие от паметници на културата от национално и местно значение, съхранената природа и голямото биоразнообразие, лошото състояние на довеждащата инфраструктура, както и на сградите с културно предназначение, продължават да възпрепятстват генерирането на повече доходи от туризъм, с негативни импликации и върху задържането на човешкия капитал в селските райони.</w:t>
      </w:r>
    </w:p>
    <w:p w:rsidR="00AE0F90" w:rsidRPr="00F203B6" w:rsidRDefault="00AE0F90" w:rsidP="00AE0F90">
      <w:pPr>
        <w:pStyle w:val="Heading1"/>
        <w:pageBreakBefore/>
        <w:numPr>
          <w:ilvl w:val="0"/>
          <w:numId w:val="16"/>
        </w:numPr>
        <w:ind w:left="714" w:hanging="357"/>
        <w:rPr>
          <w:color w:val="1F497D"/>
        </w:rPr>
      </w:pPr>
      <w:bookmarkStart w:id="39" w:name="_Toc525196972"/>
      <w:bookmarkStart w:id="40" w:name="_Toc791824"/>
      <w:r w:rsidRPr="00F203B6">
        <w:rPr>
          <w:color w:val="1F497D"/>
        </w:rPr>
        <w:lastRenderedPageBreak/>
        <w:t>Национални приоритети за следващия програмен период</w:t>
      </w:r>
      <w:bookmarkEnd w:id="39"/>
      <w:bookmarkEnd w:id="40"/>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На базата на направения социално-икономически анализ са откроени следните приоритети и под-приоритети за следващия програмен период:</w:t>
      </w:r>
    </w:p>
    <w:p w:rsidR="005C5485" w:rsidRDefault="005C5485"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b/>
          <w:sz w:val="18"/>
          <w:szCs w:val="18"/>
        </w:rPr>
        <w:t>Фиг. 1: Н</w:t>
      </w:r>
      <w:r w:rsidRPr="00EF1B83">
        <w:rPr>
          <w:rFonts w:ascii="Times New Roman" w:hAnsi="Times New Roman" w:cs="Times New Roman"/>
          <w:b/>
          <w:sz w:val="18"/>
          <w:szCs w:val="18"/>
        </w:rPr>
        <w:t xml:space="preserve">ационални приоритети и </w:t>
      </w:r>
      <w:r>
        <w:rPr>
          <w:rFonts w:ascii="Times New Roman" w:hAnsi="Times New Roman" w:cs="Times New Roman"/>
          <w:b/>
          <w:sz w:val="18"/>
          <w:szCs w:val="18"/>
        </w:rPr>
        <w:t xml:space="preserve">под-приоритети </w:t>
      </w:r>
      <w:r w:rsidRPr="00EF1B83">
        <w:rPr>
          <w:rFonts w:ascii="Times New Roman" w:hAnsi="Times New Roman" w:cs="Times New Roman"/>
          <w:b/>
          <w:sz w:val="18"/>
          <w:szCs w:val="18"/>
        </w:rPr>
        <w:t>през периода 2021-</w:t>
      </w:r>
      <w:r>
        <w:rPr>
          <w:rFonts w:ascii="Times New Roman" w:hAnsi="Times New Roman" w:cs="Times New Roman"/>
          <w:b/>
          <w:sz w:val="18"/>
          <w:szCs w:val="18"/>
        </w:rPr>
        <w:t>2027 г.</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Pr>
          <w:noProof/>
        </w:rPr>
        <w:drawing>
          <wp:inline distT="0" distB="0" distL="0" distR="0" wp14:anchorId="22268A8F" wp14:editId="3B9E52F0">
            <wp:extent cx="5524500" cy="4238625"/>
            <wp:effectExtent l="0" t="38100" r="19050" b="9525"/>
            <wp:docPr id="2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В допълнение, политиката на правителството през периода 2021-2027 г. ще включва и целенасочени действия по следните хоризонтални политики:</w:t>
      </w:r>
    </w:p>
    <w:p w:rsidR="005160D6" w:rsidRPr="005D2E5C" w:rsidRDefault="005160D6" w:rsidP="005160D6">
      <w:pPr>
        <w:pStyle w:val="ListParagraph"/>
        <w:numPr>
          <w:ilvl w:val="0"/>
          <w:numId w:val="33"/>
        </w:numPr>
        <w:spacing w:line="269" w:lineRule="auto"/>
        <w:jc w:val="both"/>
        <w:rPr>
          <w:rFonts w:ascii="Times New Roman" w:hAnsi="Times New Roman" w:cs="Times New Roman"/>
        </w:rPr>
      </w:pPr>
      <w:r w:rsidRPr="00EC3461">
        <w:rPr>
          <w:rFonts w:ascii="Times New Roman" w:hAnsi="Times New Roman" w:cs="Times New Roman"/>
          <w:b/>
          <w:u w:val="single"/>
        </w:rPr>
        <w:t>Хоризонтална политика 1:</w:t>
      </w:r>
      <w:r>
        <w:rPr>
          <w:rFonts w:ascii="Times New Roman" w:hAnsi="Times New Roman" w:cs="Times New Roman"/>
        </w:rPr>
        <w:t xml:space="preserve"> Действия, свързани с климата;</w:t>
      </w:r>
    </w:p>
    <w:p w:rsidR="005160D6" w:rsidRPr="005D2E5C" w:rsidRDefault="005160D6" w:rsidP="005160D6">
      <w:pPr>
        <w:pStyle w:val="ListParagraph"/>
        <w:numPr>
          <w:ilvl w:val="0"/>
          <w:numId w:val="33"/>
        </w:numPr>
        <w:spacing w:line="269" w:lineRule="auto"/>
        <w:jc w:val="both"/>
        <w:rPr>
          <w:rFonts w:ascii="Times New Roman" w:hAnsi="Times New Roman" w:cs="Times New Roman"/>
        </w:rPr>
      </w:pPr>
      <w:r w:rsidRPr="00EC3461">
        <w:rPr>
          <w:rFonts w:ascii="Times New Roman" w:hAnsi="Times New Roman" w:cs="Times New Roman"/>
          <w:b/>
          <w:u w:val="single"/>
        </w:rPr>
        <w:t>Хоризонтална политика 2:</w:t>
      </w:r>
      <w:r>
        <w:rPr>
          <w:rFonts w:ascii="Times New Roman" w:hAnsi="Times New Roman" w:cs="Times New Roman"/>
        </w:rPr>
        <w:t xml:space="preserve"> Преференциално третиране на проекти в изостанали райони.</w:t>
      </w:r>
    </w:p>
    <w:p w:rsidR="005160D6" w:rsidRDefault="005160D6" w:rsidP="005160D6">
      <w:pPr>
        <w:pStyle w:val="ListParagraph"/>
        <w:spacing w:line="269" w:lineRule="auto"/>
        <w:ind w:left="0" w:firstLine="0"/>
        <w:contextualSpacing w:val="0"/>
        <w:jc w:val="both"/>
        <w:rPr>
          <w:rFonts w:ascii="Times New Roman" w:hAnsi="Times New Roman" w:cs="Times New Roman"/>
        </w:rPr>
      </w:pPr>
    </w:p>
    <w:p w:rsidR="005160D6" w:rsidRPr="00EC3461" w:rsidRDefault="005160D6" w:rsidP="005160D6">
      <w:pPr>
        <w:pStyle w:val="Heading2"/>
        <w:numPr>
          <w:ilvl w:val="1"/>
          <w:numId w:val="16"/>
        </w:numPr>
        <w:rPr>
          <w:color w:val="1F497D"/>
        </w:rPr>
      </w:pPr>
      <w:bookmarkStart w:id="41" w:name="_Toc791825"/>
      <w:bookmarkStart w:id="42" w:name="_Toc531176074"/>
      <w:r w:rsidRPr="00EC3461">
        <w:rPr>
          <w:color w:val="1F497D"/>
        </w:rPr>
        <w:t>Наука и иновации за конкурентоспособност</w:t>
      </w:r>
      <w:bookmarkEnd w:id="41"/>
    </w:p>
    <w:p w:rsidR="005160D6" w:rsidRDefault="005160D6" w:rsidP="005160D6">
      <w:pPr>
        <w:pStyle w:val="ListParagraph"/>
        <w:spacing w:line="269" w:lineRule="auto"/>
        <w:ind w:left="0" w:firstLine="0"/>
        <w:contextualSpacing w:val="0"/>
        <w:jc w:val="both"/>
        <w:rPr>
          <w:rFonts w:ascii="Times New Roman" w:hAnsi="Times New Roman" w:cs="Times New Roman"/>
        </w:rPr>
      </w:pPr>
      <w:r w:rsidRPr="0062032E">
        <w:rPr>
          <w:rFonts w:ascii="Times New Roman" w:hAnsi="Times New Roman" w:cs="Times New Roman"/>
        </w:rPr>
        <w:t>Основната цел на този приоритет е повишаването на конкурентоспособността на българската икономика и преструктурирането й в икономика</w:t>
      </w:r>
      <w:r>
        <w:rPr>
          <w:rFonts w:ascii="Times New Roman" w:hAnsi="Times New Roman" w:cs="Times New Roman"/>
        </w:rPr>
        <w:t>,</w:t>
      </w:r>
      <w:r w:rsidRPr="0062032E">
        <w:rPr>
          <w:rFonts w:ascii="Times New Roman" w:hAnsi="Times New Roman" w:cs="Times New Roman"/>
        </w:rPr>
        <w:t xml:space="preserve"> базирана на знанието</w:t>
      </w:r>
      <w:r>
        <w:rPr>
          <w:rFonts w:ascii="Times New Roman" w:hAnsi="Times New Roman" w:cs="Times New Roman"/>
        </w:rPr>
        <w:t xml:space="preserve"> и</w:t>
      </w:r>
      <w:r w:rsidRPr="0062032E">
        <w:rPr>
          <w:rFonts w:ascii="Times New Roman" w:hAnsi="Times New Roman" w:cs="Times New Roman"/>
        </w:rPr>
        <w:t xml:space="preserve"> интелигентн</w:t>
      </w:r>
      <w:r>
        <w:rPr>
          <w:rFonts w:ascii="Times New Roman" w:hAnsi="Times New Roman" w:cs="Times New Roman"/>
        </w:rPr>
        <w:t>ия</w:t>
      </w:r>
      <w:r w:rsidRPr="0062032E">
        <w:rPr>
          <w:rFonts w:ascii="Times New Roman" w:hAnsi="Times New Roman" w:cs="Times New Roman"/>
        </w:rPr>
        <w:t xml:space="preserve"> растеж. </w:t>
      </w:r>
      <w:r>
        <w:rPr>
          <w:rFonts w:ascii="Times New Roman" w:hAnsi="Times New Roman" w:cs="Times New Roman"/>
        </w:rPr>
        <w:t xml:space="preserve">Повишаването на ролята на науката в икономиката на страната, паралелно с </w:t>
      </w:r>
      <w:r w:rsidRPr="00B26261">
        <w:rPr>
          <w:rFonts w:ascii="Times New Roman" w:hAnsi="Times New Roman" w:cs="Times New Roman"/>
        </w:rPr>
        <w:t>осигуряване</w:t>
      </w:r>
      <w:r>
        <w:rPr>
          <w:rFonts w:ascii="Times New Roman" w:hAnsi="Times New Roman" w:cs="Times New Roman"/>
        </w:rPr>
        <w:t>то</w:t>
      </w:r>
      <w:r w:rsidRPr="00B26261">
        <w:rPr>
          <w:rFonts w:ascii="Times New Roman" w:hAnsi="Times New Roman" w:cs="Times New Roman"/>
        </w:rPr>
        <w:t xml:space="preserve"> на благоприятна среда за развитие на иновативни предприятия</w:t>
      </w:r>
      <w:r>
        <w:rPr>
          <w:rFonts w:ascii="Times New Roman" w:hAnsi="Times New Roman" w:cs="Times New Roman"/>
        </w:rPr>
        <w:t>,</w:t>
      </w:r>
      <w:r w:rsidRPr="00B26261">
        <w:rPr>
          <w:rFonts w:ascii="Times New Roman" w:hAnsi="Times New Roman" w:cs="Times New Roman"/>
        </w:rPr>
        <w:t xml:space="preserve"> </w:t>
      </w:r>
      <w:r>
        <w:rPr>
          <w:rFonts w:ascii="Times New Roman" w:hAnsi="Times New Roman" w:cs="Times New Roman"/>
        </w:rPr>
        <w:t xml:space="preserve">има потенциала да създаде и развие високотехнологична индустриална база и да изведе икономиката на нова и по-висока траектория на растеж. </w:t>
      </w:r>
      <w:r w:rsidRPr="004A4CF1">
        <w:rPr>
          <w:rFonts w:ascii="Times New Roman" w:hAnsi="Times New Roman" w:cs="Times New Roman"/>
        </w:rPr>
        <w:t xml:space="preserve">Мерките и дейностите, които ще се изпълняват в рамките на приоритета, са в пряка връзка с постигането на </w:t>
      </w:r>
      <w:r>
        <w:rPr>
          <w:rFonts w:ascii="Times New Roman" w:hAnsi="Times New Roman" w:cs="Times New Roman"/>
        </w:rPr>
        <w:t>две</w:t>
      </w:r>
      <w:r w:rsidRPr="004A4CF1">
        <w:rPr>
          <w:rFonts w:ascii="Times New Roman" w:hAnsi="Times New Roman" w:cs="Times New Roman"/>
        </w:rPr>
        <w:t xml:space="preserve"> от основните цели на Политиката за сближаване през следващия програмен период – „</w:t>
      </w:r>
      <w:r w:rsidRPr="004A4CF1">
        <w:rPr>
          <w:rFonts w:ascii="Times New Roman" w:hAnsi="Times New Roman" w:cs="Times New Roman"/>
          <w:i/>
        </w:rPr>
        <w:t>Цел на политиката 1: По-интелигентна Европа чрез насърчаване на иновативния и интелигентен икономически преход</w:t>
      </w:r>
      <w:r w:rsidRPr="004A4CF1">
        <w:rPr>
          <w:rFonts w:ascii="Times New Roman" w:hAnsi="Times New Roman" w:cs="Times New Roman"/>
        </w:rPr>
        <w:t>“</w:t>
      </w:r>
      <w:r>
        <w:rPr>
          <w:rFonts w:ascii="Times New Roman" w:hAnsi="Times New Roman" w:cs="Times New Roman"/>
          <w:lang w:val="en-US"/>
        </w:rPr>
        <w:t xml:space="preserve"> </w:t>
      </w:r>
      <w:r>
        <w:rPr>
          <w:rFonts w:ascii="Times New Roman" w:hAnsi="Times New Roman" w:cs="Times New Roman"/>
        </w:rPr>
        <w:t xml:space="preserve">и </w:t>
      </w:r>
      <w:r w:rsidRPr="00486C5D">
        <w:rPr>
          <w:rFonts w:ascii="Times New Roman" w:hAnsi="Times New Roman" w:cs="Times New Roman"/>
        </w:rPr>
        <w:t>„</w:t>
      </w:r>
      <w:r w:rsidRPr="00486C5D">
        <w:rPr>
          <w:rFonts w:ascii="Times New Roman" w:hAnsi="Times New Roman" w:cs="Times New Roman"/>
          <w:i/>
        </w:rPr>
        <w:t xml:space="preserve">Цел на политиката </w:t>
      </w:r>
      <w:r>
        <w:rPr>
          <w:rFonts w:ascii="Times New Roman" w:hAnsi="Times New Roman" w:cs="Times New Roman"/>
          <w:i/>
        </w:rPr>
        <w:t>2</w:t>
      </w:r>
      <w:r w:rsidRPr="00486C5D">
        <w:rPr>
          <w:rFonts w:ascii="Times New Roman" w:hAnsi="Times New Roman" w:cs="Times New Roman"/>
          <w:i/>
        </w:rPr>
        <w:t>: По-</w:t>
      </w:r>
      <w:r>
        <w:rPr>
          <w:rFonts w:ascii="Times New Roman" w:hAnsi="Times New Roman" w:cs="Times New Roman"/>
          <w:i/>
        </w:rPr>
        <w:t xml:space="preserve">зелена, </w:t>
      </w:r>
      <w:proofErr w:type="spellStart"/>
      <w:r>
        <w:rPr>
          <w:rFonts w:ascii="Times New Roman" w:hAnsi="Times New Roman" w:cs="Times New Roman"/>
          <w:i/>
        </w:rPr>
        <w:t>нисковъглеродна</w:t>
      </w:r>
      <w:proofErr w:type="spellEnd"/>
      <w:r w:rsidRPr="00486C5D">
        <w:rPr>
          <w:rFonts w:ascii="Times New Roman" w:hAnsi="Times New Roman" w:cs="Times New Roman"/>
          <w:i/>
        </w:rPr>
        <w:t xml:space="preserve"> Европа чрез </w:t>
      </w:r>
      <w:r>
        <w:rPr>
          <w:rFonts w:ascii="Times New Roman" w:hAnsi="Times New Roman" w:cs="Times New Roman"/>
          <w:i/>
        </w:rPr>
        <w:t xml:space="preserve">насърчаване </w:t>
      </w:r>
      <w:r>
        <w:rPr>
          <w:rFonts w:ascii="Times New Roman" w:hAnsi="Times New Roman" w:cs="Times New Roman"/>
          <w:i/>
        </w:rPr>
        <w:lastRenderedPageBreak/>
        <w:t xml:space="preserve">на чист и справедлив енергиен преход, зелени и сини инвестиции, кръгова икономика, приспособяване към изменението на климата и превенция и управление на риска </w:t>
      </w:r>
      <w:r w:rsidRPr="00486C5D">
        <w:rPr>
          <w:rFonts w:ascii="Times New Roman" w:hAnsi="Times New Roman" w:cs="Times New Roman"/>
        </w:rPr>
        <w:t>“</w:t>
      </w:r>
      <w:r w:rsidRPr="004A4CF1">
        <w:rPr>
          <w:rFonts w:ascii="Times New Roman" w:hAnsi="Times New Roman" w:cs="Times New Roman"/>
        </w:rPr>
        <w:t>.</w:t>
      </w:r>
    </w:p>
    <w:p w:rsidR="005160D6" w:rsidRPr="00E84404" w:rsidRDefault="005160D6" w:rsidP="005160D6">
      <w:pPr>
        <w:pStyle w:val="Heading3"/>
        <w:numPr>
          <w:ilvl w:val="2"/>
          <w:numId w:val="16"/>
        </w:numPr>
        <w:rPr>
          <w:color w:val="1F497D"/>
        </w:rPr>
      </w:pPr>
      <w:bookmarkStart w:id="43" w:name="_Toc791826"/>
      <w:r>
        <w:rPr>
          <w:color w:val="1F497D"/>
        </w:rPr>
        <w:t>НИРД и научна инфраструктура</w:t>
      </w:r>
      <w:bookmarkEnd w:id="43"/>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Политиката на правителството в областта на НИРД ще стъпи на продължаващи</w:t>
      </w:r>
      <w:r w:rsidRPr="00F01CD6">
        <w:rPr>
          <w:rFonts w:ascii="Times New Roman" w:hAnsi="Times New Roman" w:cs="Times New Roman"/>
        </w:rPr>
        <w:t xml:space="preserve"> промени в модела за финансиране на публичните научноизследователски организации</w:t>
      </w:r>
      <w:r>
        <w:rPr>
          <w:rFonts w:ascii="Times New Roman" w:hAnsi="Times New Roman" w:cs="Times New Roman"/>
        </w:rPr>
        <w:t xml:space="preserve">, като осъществяващите НИРД институции ще бъдат </w:t>
      </w:r>
      <w:r w:rsidRPr="008D4638">
        <w:rPr>
          <w:rFonts w:ascii="Times New Roman" w:hAnsi="Times New Roman" w:cs="Times New Roman"/>
        </w:rPr>
        <w:t>възнаграждавани за съответните им постижения</w:t>
      </w:r>
      <w:r>
        <w:rPr>
          <w:rFonts w:ascii="Times New Roman" w:hAnsi="Times New Roman" w:cs="Times New Roman"/>
        </w:rPr>
        <w:t>, при разгръщане и адаптиране при необходимост на концепцията, стояща зад ц</w:t>
      </w:r>
      <w:r w:rsidRPr="00A9065E">
        <w:rPr>
          <w:rFonts w:ascii="Times New Roman" w:hAnsi="Times New Roman" w:cs="Times New Roman"/>
        </w:rPr>
        <w:t>ентровете за върхови постижения</w:t>
      </w:r>
      <w:r>
        <w:rPr>
          <w:rFonts w:ascii="Times New Roman" w:hAnsi="Times New Roman" w:cs="Times New Roman"/>
        </w:rPr>
        <w:t>,</w:t>
      </w:r>
      <w:r w:rsidRPr="00A9065E">
        <w:rPr>
          <w:rFonts w:ascii="Times New Roman" w:hAnsi="Times New Roman" w:cs="Times New Roman"/>
        </w:rPr>
        <w:t xml:space="preserve"> центровете за компетентност</w:t>
      </w:r>
      <w:r w:rsidRPr="00794C66">
        <w:t xml:space="preserve"> </w:t>
      </w:r>
      <w:r w:rsidRPr="00794C66">
        <w:rPr>
          <w:rFonts w:ascii="Times New Roman" w:hAnsi="Times New Roman" w:cs="Times New Roman"/>
        </w:rPr>
        <w:t>и регионалните иновационни центрове</w:t>
      </w:r>
      <w:r>
        <w:rPr>
          <w:rFonts w:ascii="Times New Roman" w:hAnsi="Times New Roman" w:cs="Times New Roman"/>
        </w:rPr>
        <w:t xml:space="preserve">. Ще продължат усилията за </w:t>
      </w:r>
      <w:r w:rsidRPr="00A9065E">
        <w:rPr>
          <w:rFonts w:ascii="Times New Roman" w:hAnsi="Times New Roman" w:cs="Times New Roman"/>
        </w:rPr>
        <w:t>повишаване нивото на научно-изследователските институции и модернизация на оборудването за извършване на НИРД</w:t>
      </w:r>
      <w:r>
        <w:rPr>
          <w:rFonts w:ascii="Times New Roman" w:hAnsi="Times New Roman" w:cs="Times New Roman"/>
        </w:rPr>
        <w:t>, но о</w:t>
      </w:r>
      <w:r w:rsidRPr="008D4638">
        <w:rPr>
          <w:rFonts w:ascii="Times New Roman" w:hAnsi="Times New Roman" w:cs="Times New Roman"/>
        </w:rPr>
        <w:t xml:space="preserve">сновен акцент </w:t>
      </w:r>
      <w:r>
        <w:rPr>
          <w:rFonts w:ascii="Times New Roman" w:hAnsi="Times New Roman" w:cs="Times New Roman"/>
        </w:rPr>
        <w:t>ще</w:t>
      </w:r>
      <w:r w:rsidRPr="008D4638">
        <w:rPr>
          <w:rFonts w:ascii="Times New Roman" w:hAnsi="Times New Roman" w:cs="Times New Roman"/>
        </w:rPr>
        <w:t xml:space="preserve"> бъде повишаване</w:t>
      </w:r>
      <w:r>
        <w:rPr>
          <w:rFonts w:ascii="Times New Roman" w:hAnsi="Times New Roman" w:cs="Times New Roman"/>
        </w:rPr>
        <w:t>то</w:t>
      </w:r>
      <w:r w:rsidRPr="008D4638">
        <w:rPr>
          <w:rFonts w:ascii="Times New Roman" w:hAnsi="Times New Roman" w:cs="Times New Roman"/>
        </w:rPr>
        <w:t xml:space="preserve"> на ефективността на публичните разходи за НИРД</w:t>
      </w:r>
      <w:r>
        <w:rPr>
          <w:rFonts w:ascii="Times New Roman" w:hAnsi="Times New Roman" w:cs="Times New Roman"/>
        </w:rPr>
        <w:t>,</w:t>
      </w:r>
      <w:r w:rsidRPr="008D4638">
        <w:rPr>
          <w:rFonts w:ascii="Times New Roman" w:hAnsi="Times New Roman" w:cs="Times New Roman"/>
        </w:rPr>
        <w:t xml:space="preserve"> при стремеж за повишаване на експлоатацията и комерсиализацията на резултатите от изследователската </w:t>
      </w:r>
      <w:r w:rsidRPr="00F01245">
        <w:rPr>
          <w:rFonts w:ascii="Times New Roman" w:hAnsi="Times New Roman" w:cs="Times New Roman"/>
        </w:rPr>
        <w:t>дейност. Мерките</w:t>
      </w:r>
      <w:r>
        <w:rPr>
          <w:rFonts w:ascii="Times New Roman" w:hAnsi="Times New Roman" w:cs="Times New Roman"/>
        </w:rPr>
        <w:t>,</w:t>
      </w:r>
      <w:r w:rsidRPr="00F01245">
        <w:rPr>
          <w:rFonts w:ascii="Times New Roman" w:hAnsi="Times New Roman" w:cs="Times New Roman"/>
        </w:rPr>
        <w:t xml:space="preserve"> </w:t>
      </w:r>
      <w:r>
        <w:rPr>
          <w:rFonts w:ascii="Times New Roman" w:hAnsi="Times New Roman" w:cs="Times New Roman"/>
        </w:rPr>
        <w:t xml:space="preserve">насочени към </w:t>
      </w:r>
      <w:r w:rsidRPr="00F01245">
        <w:rPr>
          <w:rFonts w:ascii="Times New Roman" w:hAnsi="Times New Roman" w:cs="Times New Roman"/>
        </w:rPr>
        <w:t>модернизация на научната инфраструктура</w:t>
      </w:r>
      <w:r>
        <w:rPr>
          <w:rFonts w:ascii="Times New Roman" w:hAnsi="Times New Roman" w:cs="Times New Roman"/>
        </w:rPr>
        <w:t xml:space="preserve"> ще бъдат основно насочени към инфраструктурите от европейско значение и – в по-малка степен – към тези от национално значение.</w:t>
      </w:r>
      <w:r w:rsidRPr="003012CD">
        <w:t xml:space="preserve"> </w:t>
      </w:r>
      <w:r w:rsidRPr="00794C66">
        <w:rPr>
          <w:rFonts w:ascii="Times New Roman" w:hAnsi="Times New Roman" w:cs="Times New Roman"/>
        </w:rPr>
        <w:t>Ще бъде насърчавана интелигентната специализация</w:t>
      </w:r>
      <w:r>
        <w:rPr>
          <w:rFonts w:ascii="Times New Roman" w:hAnsi="Times New Roman" w:cs="Times New Roman"/>
        </w:rPr>
        <w:t xml:space="preserve">, като инвестициите </w:t>
      </w:r>
      <w:r w:rsidRPr="0059709E">
        <w:rPr>
          <w:rFonts w:ascii="Times New Roman" w:hAnsi="Times New Roman" w:cs="Times New Roman"/>
        </w:rPr>
        <w:t xml:space="preserve">за развитие на иновационния потенциал </w:t>
      </w:r>
      <w:r>
        <w:rPr>
          <w:rFonts w:ascii="Times New Roman" w:hAnsi="Times New Roman" w:cs="Times New Roman"/>
        </w:rPr>
        <w:t xml:space="preserve">ще бъдат фокусирани върху ограничен кръг от предварително дефинирани </w:t>
      </w:r>
      <w:r w:rsidRPr="0059709E">
        <w:rPr>
          <w:rFonts w:ascii="Times New Roman" w:hAnsi="Times New Roman" w:cs="Times New Roman"/>
        </w:rPr>
        <w:t>тематични области, продуктови групи и ниши</w:t>
      </w:r>
      <w:r>
        <w:rPr>
          <w:rFonts w:ascii="Times New Roman" w:hAnsi="Times New Roman" w:cs="Times New Roman"/>
        </w:rPr>
        <w:t>.</w:t>
      </w:r>
      <w:r w:rsidRPr="00794C66">
        <w:t xml:space="preserve"> </w:t>
      </w:r>
      <w:r w:rsidRPr="00794C66">
        <w:rPr>
          <w:rFonts w:ascii="Times New Roman" w:hAnsi="Times New Roman" w:cs="Times New Roman"/>
        </w:rPr>
        <w:t>Ще бъде поставен акцент върху развитието на регионални и местни изпитателни лаборатории, насърчаване на предприемачеството в организации, които се занимават с публични научни изследвания, поддържане на успешни клъстери, адресиране на пропуските в научноизследователската инфраструктура и оптимално използване на споделения инфраструктурен капацитет.</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sidRPr="00A9065E">
        <w:rPr>
          <w:rFonts w:ascii="Times New Roman" w:hAnsi="Times New Roman" w:cs="Times New Roman"/>
        </w:rPr>
        <w:t>С</w:t>
      </w:r>
      <w:r>
        <w:rPr>
          <w:rFonts w:ascii="Times New Roman" w:hAnsi="Times New Roman" w:cs="Times New Roman"/>
        </w:rPr>
        <w:t xml:space="preserve"> </w:t>
      </w:r>
      <w:r w:rsidRPr="00A9065E">
        <w:rPr>
          <w:rFonts w:ascii="Times New Roman" w:hAnsi="Times New Roman" w:cs="Times New Roman"/>
        </w:rPr>
        <w:t xml:space="preserve">цел подобряване на средата за НИРД в </w:t>
      </w:r>
      <w:r>
        <w:rPr>
          <w:rFonts w:ascii="Times New Roman" w:hAnsi="Times New Roman" w:cs="Times New Roman"/>
        </w:rPr>
        <w:t>страната</w:t>
      </w:r>
      <w:r w:rsidRPr="00794C66">
        <w:t xml:space="preserve"> </w:t>
      </w:r>
      <w:r w:rsidRPr="00794C66">
        <w:rPr>
          <w:rFonts w:ascii="Times New Roman" w:hAnsi="Times New Roman" w:cs="Times New Roman"/>
        </w:rPr>
        <w:t>и по-нататъшно развитие на иновационната екосистема</w:t>
      </w:r>
      <w:r>
        <w:rPr>
          <w:rFonts w:ascii="Times New Roman" w:hAnsi="Times New Roman" w:cs="Times New Roman"/>
        </w:rPr>
        <w:t>,</w:t>
      </w:r>
      <w:r w:rsidRPr="00A9065E">
        <w:rPr>
          <w:rFonts w:ascii="Times New Roman" w:hAnsi="Times New Roman" w:cs="Times New Roman"/>
        </w:rPr>
        <w:t xml:space="preserve"> </w:t>
      </w:r>
      <w:r>
        <w:rPr>
          <w:rFonts w:ascii="Times New Roman" w:hAnsi="Times New Roman" w:cs="Times New Roman"/>
        </w:rPr>
        <w:t xml:space="preserve">ще бъдат търсени възможности за подобряване на </w:t>
      </w:r>
      <w:r w:rsidRPr="00A9065E">
        <w:rPr>
          <w:rFonts w:ascii="Times New Roman" w:hAnsi="Times New Roman" w:cs="Times New Roman"/>
        </w:rPr>
        <w:t>условия</w:t>
      </w:r>
      <w:r>
        <w:rPr>
          <w:rFonts w:ascii="Times New Roman" w:hAnsi="Times New Roman" w:cs="Times New Roman"/>
        </w:rPr>
        <w:t>та</w:t>
      </w:r>
      <w:r w:rsidRPr="00A9065E">
        <w:rPr>
          <w:rFonts w:ascii="Times New Roman" w:hAnsi="Times New Roman" w:cs="Times New Roman"/>
        </w:rPr>
        <w:t xml:space="preserve"> за публично-частни партньорства в областта на </w:t>
      </w:r>
      <w:r w:rsidRPr="00794C66">
        <w:rPr>
          <w:rFonts w:ascii="Times New Roman" w:hAnsi="Times New Roman" w:cs="Times New Roman"/>
        </w:rPr>
        <w:t xml:space="preserve">приложните научни изследвания </w:t>
      </w:r>
      <w:r>
        <w:rPr>
          <w:rFonts w:ascii="Times New Roman" w:hAnsi="Times New Roman" w:cs="Times New Roman"/>
        </w:rPr>
        <w:t>и</w:t>
      </w:r>
      <w:r w:rsidRPr="00A9065E">
        <w:rPr>
          <w:rFonts w:ascii="Times New Roman" w:hAnsi="Times New Roman" w:cs="Times New Roman"/>
        </w:rPr>
        <w:t xml:space="preserve"> ускоряване на процеса по пазарна реализация на иновациите, в </w:t>
      </w:r>
      <w:r>
        <w:rPr>
          <w:rFonts w:ascii="Times New Roman" w:hAnsi="Times New Roman" w:cs="Times New Roman"/>
        </w:rPr>
        <w:t>т.ч. и на международните пазари.</w:t>
      </w:r>
      <w:r w:rsidRPr="00F01245">
        <w:rPr>
          <w:rFonts w:ascii="Times New Roman" w:hAnsi="Times New Roman" w:cs="Times New Roman"/>
        </w:rPr>
        <w:t xml:space="preserve"> </w:t>
      </w:r>
      <w:r>
        <w:rPr>
          <w:rFonts w:ascii="Times New Roman" w:hAnsi="Times New Roman" w:cs="Times New Roman"/>
        </w:rPr>
        <w:t xml:space="preserve">Ще бъдат предприети стъпки за </w:t>
      </w:r>
      <w:r w:rsidRPr="00F01245">
        <w:rPr>
          <w:rFonts w:ascii="Times New Roman" w:hAnsi="Times New Roman" w:cs="Times New Roman"/>
        </w:rPr>
        <w:t xml:space="preserve">въвеждане на алтернативни финансови източници и инструменти за подкрепа и разработване на иновации, изграждане на иновационни мрежи, </w:t>
      </w:r>
      <w:r w:rsidRPr="00794C66">
        <w:rPr>
          <w:rFonts w:ascii="Times New Roman" w:hAnsi="Times New Roman" w:cs="Times New Roman"/>
        </w:rPr>
        <w:t xml:space="preserve">развитие на </w:t>
      </w:r>
      <w:r w:rsidRPr="00F01245">
        <w:rPr>
          <w:rFonts w:ascii="Times New Roman" w:hAnsi="Times New Roman" w:cs="Times New Roman"/>
        </w:rPr>
        <w:t>центрове за технологичен трансфер и насърчаване на приложните изследвания и сътрудничеството между образователните институции, научните центрове и бизнеса</w:t>
      </w:r>
      <w:r>
        <w:rPr>
          <w:rFonts w:ascii="Times New Roman" w:hAnsi="Times New Roman" w:cs="Times New Roman"/>
        </w:rPr>
        <w:t>,</w:t>
      </w:r>
      <w:r w:rsidRPr="00794C66">
        <w:t xml:space="preserve"> </w:t>
      </w:r>
      <w:r w:rsidRPr="00794C66">
        <w:rPr>
          <w:rFonts w:ascii="Times New Roman" w:hAnsi="Times New Roman" w:cs="Times New Roman"/>
        </w:rPr>
        <w:t>включително изграждането на капацитет за сътрудничество (в научните среди за изследователски дейности с "предприемачески" характер и в бизнеса за усвояване на резултатите от НИРД</w:t>
      </w:r>
      <w:r>
        <w:rPr>
          <w:rFonts w:ascii="Times New Roman" w:hAnsi="Times New Roman" w:cs="Times New Roman"/>
        </w:rPr>
        <w:t>)</w:t>
      </w:r>
      <w:r w:rsidRPr="00F01245">
        <w:rPr>
          <w:rFonts w:ascii="Times New Roman" w:hAnsi="Times New Roman" w:cs="Times New Roman"/>
        </w:rPr>
        <w:t>.</w:t>
      </w:r>
      <w:r>
        <w:rPr>
          <w:rFonts w:ascii="Times New Roman" w:hAnsi="Times New Roman" w:cs="Times New Roman"/>
        </w:rPr>
        <w:t xml:space="preserve"> Приоритет ще остане </w:t>
      </w:r>
      <w:r w:rsidRPr="00F01245">
        <w:rPr>
          <w:rFonts w:ascii="Times New Roman" w:hAnsi="Times New Roman" w:cs="Times New Roman"/>
        </w:rPr>
        <w:t>по-нататъшно</w:t>
      </w:r>
      <w:r>
        <w:rPr>
          <w:rFonts w:ascii="Times New Roman" w:hAnsi="Times New Roman" w:cs="Times New Roman"/>
        </w:rPr>
        <w:t>то</w:t>
      </w:r>
      <w:r w:rsidRPr="00F01245">
        <w:rPr>
          <w:rFonts w:ascii="Times New Roman" w:hAnsi="Times New Roman" w:cs="Times New Roman"/>
        </w:rPr>
        <w:t xml:space="preserve"> подпомагане на интеграцията на българската наука</w:t>
      </w:r>
      <w:r>
        <w:rPr>
          <w:rFonts w:ascii="Times New Roman" w:hAnsi="Times New Roman" w:cs="Times New Roman"/>
        </w:rPr>
        <w:t xml:space="preserve"> и</w:t>
      </w:r>
      <w:r w:rsidRPr="00F01245">
        <w:rPr>
          <w:rFonts w:ascii="Times New Roman" w:hAnsi="Times New Roman" w:cs="Times New Roman"/>
        </w:rPr>
        <w:t xml:space="preserve"> научни изследвания </w:t>
      </w:r>
      <w:r>
        <w:rPr>
          <w:rFonts w:ascii="Times New Roman" w:hAnsi="Times New Roman" w:cs="Times New Roman"/>
        </w:rPr>
        <w:t>в европейското изследователско пространство</w:t>
      </w:r>
      <w:r w:rsidRPr="00F01245">
        <w:rPr>
          <w:rFonts w:ascii="Times New Roman" w:hAnsi="Times New Roman" w:cs="Times New Roman"/>
        </w:rPr>
        <w:t>.</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Ще продължат усилията в посока </w:t>
      </w:r>
      <w:r w:rsidRPr="003012CD">
        <w:rPr>
          <w:rFonts w:ascii="Times New Roman" w:hAnsi="Times New Roman" w:cs="Times New Roman"/>
        </w:rPr>
        <w:t>изграждането на капацитет и развитие на човешките ресурси</w:t>
      </w:r>
      <w:r>
        <w:rPr>
          <w:rFonts w:ascii="Times New Roman" w:hAnsi="Times New Roman" w:cs="Times New Roman"/>
        </w:rPr>
        <w:t xml:space="preserve"> в системата на НИРД, като ще бъдат реализирани интервенции с фокус върху повишаването на </w:t>
      </w:r>
      <w:r w:rsidRPr="003012CD">
        <w:rPr>
          <w:rFonts w:ascii="Times New Roman" w:hAnsi="Times New Roman" w:cs="Times New Roman"/>
        </w:rPr>
        <w:t>привлекателността на научната кариера</w:t>
      </w:r>
      <w:r>
        <w:rPr>
          <w:rFonts w:ascii="Times New Roman" w:hAnsi="Times New Roman" w:cs="Times New Roman"/>
        </w:rPr>
        <w:t xml:space="preserve"> и </w:t>
      </w:r>
      <w:r w:rsidRPr="003012CD">
        <w:rPr>
          <w:rFonts w:ascii="Times New Roman" w:hAnsi="Times New Roman" w:cs="Times New Roman"/>
        </w:rPr>
        <w:t>привличане и задържане на учени и изследователи</w:t>
      </w:r>
      <w:r>
        <w:rPr>
          <w:rFonts w:ascii="Times New Roman" w:hAnsi="Times New Roman" w:cs="Times New Roman"/>
        </w:rPr>
        <w:t>. Същевременно, ще бъдат търсени начини за насърчаване на продължаващо оптимизиране на структурата на заетостта в сектора в посока засилване на присъствието на университетите.</w:t>
      </w:r>
    </w:p>
    <w:p w:rsidR="005160D6" w:rsidRPr="00E84404" w:rsidRDefault="005160D6" w:rsidP="005160D6">
      <w:pPr>
        <w:pStyle w:val="Heading3"/>
        <w:numPr>
          <w:ilvl w:val="2"/>
          <w:numId w:val="16"/>
        </w:numPr>
        <w:rPr>
          <w:color w:val="1F497D"/>
        </w:rPr>
      </w:pPr>
      <w:bookmarkStart w:id="44" w:name="_Toc791827"/>
      <w:r>
        <w:rPr>
          <w:color w:val="1F497D"/>
        </w:rPr>
        <w:t>Стимулиране на иновациите в предприятията</w:t>
      </w:r>
      <w:bookmarkEnd w:id="44"/>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В рамките на този под-приоритет ще бъде подпомагано внедряването на иновации и иновативни решения с ясен принос към икономическия растеж. Специален фокус ще бъде поставен върху разработването и въвеждането на </w:t>
      </w:r>
      <w:r w:rsidRPr="00D07800">
        <w:rPr>
          <w:rFonts w:ascii="Times New Roman" w:hAnsi="Times New Roman" w:cs="Times New Roman"/>
        </w:rPr>
        <w:t>иновативни продукти, процеси и бизнес модели</w:t>
      </w:r>
      <w:r>
        <w:rPr>
          <w:rFonts w:ascii="Times New Roman" w:hAnsi="Times New Roman" w:cs="Times New Roman"/>
        </w:rPr>
        <w:t xml:space="preserve">, ориентирани към повишаване на ресурсната ефективност, предвид все още значителната изостаналост на страната в това отношение. </w:t>
      </w:r>
      <w:r w:rsidRPr="00794C66">
        <w:rPr>
          <w:rFonts w:ascii="Times New Roman" w:hAnsi="Times New Roman" w:cs="Times New Roman"/>
        </w:rPr>
        <w:t>Ще бъдат създавани и условия за възникването и развитието на иновационни екосистеми.</w:t>
      </w:r>
      <w:r>
        <w:rPr>
          <w:rFonts w:ascii="Times New Roman" w:hAnsi="Times New Roman" w:cs="Times New Roman"/>
        </w:rPr>
        <w:t xml:space="preserve"> Приоритетно ще бъде подпомагано и внедряването на иновации, адресиращи все още високата </w:t>
      </w:r>
      <w:proofErr w:type="spellStart"/>
      <w:r>
        <w:rPr>
          <w:rFonts w:ascii="Times New Roman" w:hAnsi="Times New Roman" w:cs="Times New Roman"/>
        </w:rPr>
        <w:t>въглеродоинтензивност</w:t>
      </w:r>
      <w:proofErr w:type="spellEnd"/>
      <w:r>
        <w:rPr>
          <w:rFonts w:ascii="Times New Roman" w:hAnsi="Times New Roman" w:cs="Times New Roman"/>
        </w:rPr>
        <w:t xml:space="preserve"> на икономиката.</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lastRenderedPageBreak/>
        <w:t xml:space="preserve">При осъществяване на политиката в тази област ще бъдат търсени начини за разширяване на обхвата й за достигане до по-широк кръг от потенциални бенефициенти при възможно по-широко приложение на финансовите инструменти, като алтернативен източник на финансиране. </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Акцент на политиката ще продължи да бъде финансирането на иновативни нововъзникващи или млади предприятия, </w:t>
      </w:r>
      <w:r w:rsidRPr="00AD49CD">
        <w:rPr>
          <w:rFonts w:ascii="Times New Roman" w:hAnsi="Times New Roman" w:cs="Times New Roman"/>
        </w:rPr>
        <w:t>насочени към раз</w:t>
      </w:r>
      <w:r>
        <w:rPr>
          <w:rFonts w:ascii="Times New Roman" w:hAnsi="Times New Roman" w:cs="Times New Roman"/>
        </w:rPr>
        <w:t>работване</w:t>
      </w:r>
      <w:r w:rsidRPr="00AD49CD">
        <w:rPr>
          <w:rFonts w:ascii="Times New Roman" w:hAnsi="Times New Roman" w:cs="Times New Roman"/>
        </w:rPr>
        <w:t>то, внедряването в производство и трайната пазарна реализация на иновации</w:t>
      </w:r>
      <w:r>
        <w:rPr>
          <w:rFonts w:ascii="Times New Roman" w:hAnsi="Times New Roman" w:cs="Times New Roman"/>
        </w:rPr>
        <w:t>,</w:t>
      </w:r>
      <w:r w:rsidRPr="00AD49CD">
        <w:rPr>
          <w:rFonts w:ascii="Times New Roman" w:hAnsi="Times New Roman" w:cs="Times New Roman"/>
        </w:rPr>
        <w:t xml:space="preserve"> </w:t>
      </w:r>
      <w:r>
        <w:rPr>
          <w:rFonts w:ascii="Times New Roman" w:hAnsi="Times New Roman" w:cs="Times New Roman"/>
        </w:rPr>
        <w:t xml:space="preserve">посредством фондове за начално финансиране, както и фондове за рисков капитал на последващите етапи от развитие на предприятията. Успехът на инструментите, функциониращи още от първия програмен период на страната в ЕС, е аргумент за тяхното използване и занапред. </w:t>
      </w:r>
    </w:p>
    <w:p w:rsidR="005160D6" w:rsidRDefault="005160D6" w:rsidP="005160D6">
      <w:pPr>
        <w:pStyle w:val="Heading2"/>
        <w:numPr>
          <w:ilvl w:val="1"/>
          <w:numId w:val="16"/>
        </w:numPr>
        <w:rPr>
          <w:color w:val="1F497D"/>
        </w:rPr>
      </w:pPr>
      <w:bookmarkStart w:id="45" w:name="_Toc791828"/>
      <w:r w:rsidRPr="00EC3461">
        <w:rPr>
          <w:color w:val="1F497D"/>
        </w:rPr>
        <w:t>Образование и обучение за високо квалифицирана работна сила</w:t>
      </w:r>
      <w:bookmarkEnd w:id="42"/>
      <w:bookmarkEnd w:id="45"/>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Основната цел на този приоритет е формирането и повишаване качеството на човешкия капитал, като основен фактор на производството. В условия на негативни демографски тенденции – и най-вече намаляването на населението в трудоспособна възраст – ценността на човешкия ресурс нараства допълнително и изисква приоритетното фокусиране на политиката върху интервенции, осигуряващи предпоставки за максимална и качествена заетост. Мерките и дейностите, които ще се изпълняват в рамките на приоритета, са в пряка връзка с постигането на една от основните цели на Политиката за сближаване през следващия програмен период – „</w:t>
      </w:r>
      <w:r w:rsidRPr="00C26F2E">
        <w:rPr>
          <w:rFonts w:ascii="Times New Roman" w:hAnsi="Times New Roman" w:cs="Times New Roman"/>
          <w:i/>
        </w:rPr>
        <w:t>Цел на политиката 4: По-социална Европа чрез изпълнение на европейския стълб на социалните права</w:t>
      </w:r>
      <w:r>
        <w:rPr>
          <w:rFonts w:ascii="Times New Roman" w:hAnsi="Times New Roman" w:cs="Times New Roman"/>
        </w:rPr>
        <w:t>“. Същевременно, успехът в постигането на целите на приоритета ще е от ключово значение и за постигането на друга от целите на Кохезионната политика в периода 2021-2027 г. – „</w:t>
      </w:r>
      <w:r w:rsidRPr="00C26F2E">
        <w:rPr>
          <w:rFonts w:ascii="Times New Roman" w:hAnsi="Times New Roman" w:cs="Times New Roman"/>
          <w:i/>
        </w:rPr>
        <w:t xml:space="preserve">Цел на политиката </w:t>
      </w:r>
      <w:r>
        <w:rPr>
          <w:rFonts w:ascii="Times New Roman" w:hAnsi="Times New Roman" w:cs="Times New Roman"/>
          <w:i/>
        </w:rPr>
        <w:t>1</w:t>
      </w:r>
      <w:r w:rsidRPr="00C26F2E">
        <w:rPr>
          <w:rFonts w:ascii="Times New Roman" w:hAnsi="Times New Roman" w:cs="Times New Roman"/>
          <w:i/>
        </w:rPr>
        <w:t>: По-</w:t>
      </w:r>
      <w:r>
        <w:rPr>
          <w:rFonts w:ascii="Times New Roman" w:hAnsi="Times New Roman" w:cs="Times New Roman"/>
          <w:i/>
        </w:rPr>
        <w:t>интелигентна</w:t>
      </w:r>
      <w:r w:rsidRPr="00C26F2E">
        <w:rPr>
          <w:rFonts w:ascii="Times New Roman" w:hAnsi="Times New Roman" w:cs="Times New Roman"/>
          <w:i/>
        </w:rPr>
        <w:t xml:space="preserve"> Европа чрез </w:t>
      </w:r>
      <w:r>
        <w:rPr>
          <w:rFonts w:ascii="Times New Roman" w:hAnsi="Times New Roman" w:cs="Times New Roman"/>
          <w:i/>
        </w:rPr>
        <w:t>насърчаване на иновативния и интелигентен икономически преход</w:t>
      </w:r>
      <w:r>
        <w:rPr>
          <w:rFonts w:ascii="Times New Roman" w:hAnsi="Times New Roman" w:cs="Times New Roman"/>
        </w:rPr>
        <w:t>“, доколкото съществуването на адекватни умения в работната сила е изходна предпоставка и необходимо условие за трансформирането на икономиката.</w:t>
      </w:r>
    </w:p>
    <w:p w:rsidR="005160D6" w:rsidRPr="00E84404" w:rsidRDefault="005160D6" w:rsidP="005160D6">
      <w:pPr>
        <w:pStyle w:val="Heading3"/>
        <w:numPr>
          <w:ilvl w:val="2"/>
          <w:numId w:val="16"/>
        </w:numPr>
        <w:rPr>
          <w:color w:val="1F497D"/>
        </w:rPr>
      </w:pPr>
      <w:bookmarkStart w:id="46" w:name="_Toc531176075"/>
      <w:bookmarkStart w:id="47" w:name="_Toc791829"/>
      <w:r>
        <w:rPr>
          <w:color w:val="1F497D"/>
        </w:rPr>
        <w:t>Повишаване на уменията</w:t>
      </w:r>
      <w:bookmarkEnd w:id="46"/>
      <w:bookmarkEnd w:id="47"/>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Стратегията на правителството в областта на образованието и обучението ще стъпи на </w:t>
      </w:r>
      <w:r w:rsidRPr="00856B4F">
        <w:rPr>
          <w:rFonts w:ascii="Times New Roman" w:hAnsi="Times New Roman" w:cs="Times New Roman"/>
        </w:rPr>
        <w:t xml:space="preserve">преосмисляне на ролята на образователната система в условията на информационно общество, характеризиращо се с </w:t>
      </w:r>
      <w:r>
        <w:rPr>
          <w:rFonts w:ascii="Times New Roman" w:hAnsi="Times New Roman" w:cs="Times New Roman"/>
        </w:rPr>
        <w:t>бърз</w:t>
      </w:r>
      <w:r w:rsidRPr="00856B4F">
        <w:rPr>
          <w:rFonts w:ascii="Times New Roman" w:hAnsi="Times New Roman" w:cs="Times New Roman"/>
        </w:rPr>
        <w:t xml:space="preserve"> достъп до всякаква информация</w:t>
      </w:r>
      <w:r>
        <w:rPr>
          <w:rFonts w:ascii="Times New Roman" w:hAnsi="Times New Roman" w:cs="Times New Roman"/>
        </w:rPr>
        <w:t>. Осъществяваната реформа в образователния сектор ще продължи при засилване на фокуса върху изграждане на умения, за сметка на натрупване на знания, чиято ценност е силно компрометирана от технологичния напредък и развитието на глобалната мрежа. Ще бъдат концентрирани усилия за разширяване на обхвата на образователната система, особено на ниските й нива, при осигуряване на условия за равен достъп до образователна услуга. Специален акцент ще бъде поставен върху уязвимите групи и регионите, характеризиращи се с намаляващи нива на записване в образователната система и все още висок дял на преждевременно напускащите училище, като ще бъдат разработени мерки и механизми, специално насочени към тези групи и региони.</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Слабостите по отношение на качеството на предоставяната образователна услуга ще бъдат адресирани посредством интензифициране на процесите на навлизане на модерните технологии в учебния процес, подобряване на материалната база в образователните институции и мерки, насочени към повишаване на квалификацията на преподавателския състав, включително за привличане на млади кадри</w:t>
      </w:r>
      <w:r>
        <w:rPr>
          <w:rFonts w:ascii="Times New Roman" w:hAnsi="Times New Roman" w:cs="Times New Roman"/>
          <w:lang w:val="en-US"/>
        </w:rPr>
        <w:t xml:space="preserve"> </w:t>
      </w:r>
      <w:r>
        <w:rPr>
          <w:rFonts w:ascii="Times New Roman" w:hAnsi="Times New Roman" w:cs="Times New Roman"/>
        </w:rPr>
        <w:t xml:space="preserve">в сферата на образованието. Ще продължат усилията за </w:t>
      </w:r>
      <w:r w:rsidRPr="0097036F">
        <w:rPr>
          <w:rFonts w:ascii="Times New Roman" w:hAnsi="Times New Roman" w:cs="Times New Roman"/>
        </w:rPr>
        <w:t xml:space="preserve">адаптиране на системата на професионалното образование и обучение към нуждите на пазара на труда, </w:t>
      </w:r>
      <w:r>
        <w:rPr>
          <w:rFonts w:ascii="Times New Roman" w:hAnsi="Times New Roman" w:cs="Times New Roman"/>
        </w:rPr>
        <w:t xml:space="preserve">стъпвайки на критичен системен анализ на резултатите и ефективността на </w:t>
      </w:r>
      <w:r w:rsidRPr="0097036F">
        <w:rPr>
          <w:rFonts w:ascii="Times New Roman" w:hAnsi="Times New Roman" w:cs="Times New Roman"/>
        </w:rPr>
        <w:t>въведе</w:t>
      </w:r>
      <w:r>
        <w:rPr>
          <w:rFonts w:ascii="Times New Roman" w:hAnsi="Times New Roman" w:cs="Times New Roman"/>
        </w:rPr>
        <w:t>ната</w:t>
      </w:r>
      <w:r w:rsidRPr="0097036F">
        <w:rPr>
          <w:rFonts w:ascii="Times New Roman" w:hAnsi="Times New Roman" w:cs="Times New Roman"/>
        </w:rPr>
        <w:t xml:space="preserve"> система на чиракуването (</w:t>
      </w:r>
      <w:proofErr w:type="spellStart"/>
      <w:r w:rsidRPr="0097036F">
        <w:rPr>
          <w:rFonts w:ascii="Times New Roman" w:hAnsi="Times New Roman" w:cs="Times New Roman"/>
        </w:rPr>
        <w:t>дуалното</w:t>
      </w:r>
      <w:proofErr w:type="spellEnd"/>
      <w:r w:rsidRPr="0097036F">
        <w:rPr>
          <w:rFonts w:ascii="Times New Roman" w:hAnsi="Times New Roman" w:cs="Times New Roman"/>
        </w:rPr>
        <w:t xml:space="preserve"> обучение).</w:t>
      </w:r>
      <w:r>
        <w:rPr>
          <w:rFonts w:ascii="Times New Roman" w:hAnsi="Times New Roman" w:cs="Times New Roman"/>
        </w:rPr>
        <w:t xml:space="preserve"> Механизмът за формиране на държавната поръчка в сферата на висшето образование ще бъде надграден, при стремеж за осигуряване на предпоставки за подготовка на кадри в търсени от бизнеса области и специалности. Моделът за финансиране на висшите училища ще бъде актуализиран </w:t>
      </w:r>
      <w:r w:rsidR="00063A6F">
        <w:rPr>
          <w:rFonts w:ascii="Times New Roman" w:hAnsi="Times New Roman" w:cs="Times New Roman"/>
        </w:rPr>
        <w:t xml:space="preserve">при засилване на </w:t>
      </w:r>
      <w:r w:rsidR="00063A6F">
        <w:rPr>
          <w:rFonts w:ascii="Times New Roman" w:hAnsi="Times New Roman" w:cs="Times New Roman"/>
        </w:rPr>
        <w:lastRenderedPageBreak/>
        <w:t>тежестта</w:t>
      </w:r>
      <w:r>
        <w:rPr>
          <w:rFonts w:ascii="Times New Roman" w:hAnsi="Times New Roman" w:cs="Times New Roman"/>
        </w:rPr>
        <w:t xml:space="preserve"> на компонент</w:t>
      </w:r>
      <w:r w:rsidR="00063A6F">
        <w:rPr>
          <w:rFonts w:ascii="Times New Roman" w:hAnsi="Times New Roman" w:cs="Times New Roman"/>
        </w:rPr>
        <w:t>а</w:t>
      </w:r>
      <w:r>
        <w:rPr>
          <w:rFonts w:ascii="Times New Roman" w:hAnsi="Times New Roman" w:cs="Times New Roman"/>
        </w:rPr>
        <w:t xml:space="preserve">, отразяващ </w:t>
      </w:r>
      <w:r w:rsidRPr="007243D3">
        <w:rPr>
          <w:rFonts w:ascii="Times New Roman" w:hAnsi="Times New Roman" w:cs="Times New Roman"/>
        </w:rPr>
        <w:t>приноса им към пазара на труда и резултатите от обучението на работната сила</w:t>
      </w:r>
      <w:r>
        <w:rPr>
          <w:rFonts w:ascii="Times New Roman" w:hAnsi="Times New Roman" w:cs="Times New Roman"/>
        </w:rPr>
        <w:t>.</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Специален фокус на правителствената политика в областта на повишаването на уменията на населението в трудоспособна възраст ще бъде поставен върху </w:t>
      </w:r>
      <w:r w:rsidRPr="003F2A52">
        <w:rPr>
          <w:rFonts w:ascii="Times New Roman" w:hAnsi="Times New Roman" w:cs="Times New Roman"/>
        </w:rPr>
        <w:t>ефективно</w:t>
      </w:r>
      <w:r>
        <w:rPr>
          <w:rFonts w:ascii="Times New Roman" w:hAnsi="Times New Roman" w:cs="Times New Roman"/>
        </w:rPr>
        <w:t>то</w:t>
      </w:r>
      <w:r w:rsidRPr="003F2A52">
        <w:rPr>
          <w:rFonts w:ascii="Times New Roman" w:hAnsi="Times New Roman" w:cs="Times New Roman"/>
        </w:rPr>
        <w:t xml:space="preserve"> предлагане на възможности за УЦЖ</w:t>
      </w:r>
      <w:r>
        <w:rPr>
          <w:rFonts w:ascii="Times New Roman" w:hAnsi="Times New Roman" w:cs="Times New Roman"/>
        </w:rPr>
        <w:t xml:space="preserve">. Ще бъде изградена система от стимули и ефективни механизми </w:t>
      </w:r>
      <w:r w:rsidRPr="0098449D">
        <w:rPr>
          <w:rFonts w:ascii="Times New Roman" w:hAnsi="Times New Roman" w:cs="Times New Roman"/>
        </w:rPr>
        <w:t>за повишаване на квалификацията на възрастното население</w:t>
      </w:r>
      <w:r>
        <w:rPr>
          <w:rFonts w:ascii="Times New Roman" w:hAnsi="Times New Roman" w:cs="Times New Roman"/>
        </w:rPr>
        <w:t xml:space="preserve">, която да позволи повторната интеграция на пазара на труда на безработни, включително структурно безработни, и икономически неактивни </w:t>
      </w:r>
      <w:r w:rsidRPr="00DE7D9C">
        <w:rPr>
          <w:rFonts w:ascii="Times New Roman" w:hAnsi="Times New Roman" w:cs="Times New Roman"/>
        </w:rPr>
        <w:t>нискоквалифицирани работници</w:t>
      </w:r>
      <w:r>
        <w:rPr>
          <w:rFonts w:ascii="Times New Roman" w:hAnsi="Times New Roman" w:cs="Times New Roman"/>
        </w:rPr>
        <w:t>. Повишаването на уменията им и включването им в заетост ще способства повишаването на производителността на труда в макроикономически план, като същевременно ще изиграе ролята на инструмент за социално включване. Специално ще бъдат обследвани възможностите за изграждане на система от стимули и санкции за работодателите, осигуряващи на своите служители участие в учене на работното място, като форма на УЦЖ.</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Ще бъдат предприети стъпки за </w:t>
      </w:r>
      <w:r w:rsidRPr="00CB7D4F">
        <w:rPr>
          <w:rFonts w:ascii="Times New Roman" w:hAnsi="Times New Roman" w:cs="Times New Roman"/>
        </w:rPr>
        <w:t>предоставяне на адекватни стимули и достатъчна свобода и гъвкавост на доставчиците на обучение за адресиране на незадоволените нужди на пазара на труда</w:t>
      </w:r>
      <w:r>
        <w:rPr>
          <w:rFonts w:ascii="Times New Roman" w:hAnsi="Times New Roman" w:cs="Times New Roman"/>
        </w:rPr>
        <w:t xml:space="preserve">, но при засилване на контрола по ефективността на проведените обучения и използваните методи, включително и </w:t>
      </w:r>
      <w:r w:rsidRPr="00CB7D4F">
        <w:rPr>
          <w:rFonts w:ascii="Times New Roman" w:hAnsi="Times New Roman" w:cs="Times New Roman"/>
        </w:rPr>
        <w:t xml:space="preserve">чрез въвеждане на </w:t>
      </w:r>
      <w:r>
        <w:rPr>
          <w:rFonts w:ascii="Times New Roman" w:hAnsi="Times New Roman" w:cs="Times New Roman"/>
        </w:rPr>
        <w:t>адекватна система з</w:t>
      </w:r>
      <w:r w:rsidRPr="00CB7D4F">
        <w:rPr>
          <w:rFonts w:ascii="Times New Roman" w:hAnsi="Times New Roman" w:cs="Times New Roman"/>
        </w:rPr>
        <w:t xml:space="preserve">а валидиране на </w:t>
      </w:r>
      <w:r>
        <w:rPr>
          <w:rFonts w:ascii="Times New Roman" w:hAnsi="Times New Roman" w:cs="Times New Roman"/>
        </w:rPr>
        <w:t xml:space="preserve">получените </w:t>
      </w:r>
      <w:r w:rsidRPr="00CB7D4F">
        <w:rPr>
          <w:rFonts w:ascii="Times New Roman" w:hAnsi="Times New Roman" w:cs="Times New Roman"/>
        </w:rPr>
        <w:t>знания, умения и компетентност</w:t>
      </w:r>
      <w:r>
        <w:rPr>
          <w:rFonts w:ascii="Times New Roman" w:hAnsi="Times New Roman" w:cs="Times New Roman"/>
        </w:rPr>
        <w:t>и.</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Предмет на масирани интервенции </w:t>
      </w:r>
      <w:r w:rsidRPr="00AE4160">
        <w:rPr>
          <w:rFonts w:ascii="Times New Roman" w:hAnsi="Times New Roman" w:cs="Times New Roman"/>
        </w:rPr>
        <w:t>на всички нива на образователната система, както и на системата на квалификация и преквалификация</w:t>
      </w:r>
      <w:r>
        <w:rPr>
          <w:rFonts w:ascii="Times New Roman" w:hAnsi="Times New Roman" w:cs="Times New Roman"/>
        </w:rPr>
        <w:t>,</w:t>
      </w:r>
      <w:r w:rsidRPr="00AE4160">
        <w:rPr>
          <w:rFonts w:ascii="Times New Roman" w:hAnsi="Times New Roman" w:cs="Times New Roman"/>
        </w:rPr>
        <w:t xml:space="preserve"> </w:t>
      </w:r>
      <w:r>
        <w:rPr>
          <w:rFonts w:ascii="Times New Roman" w:hAnsi="Times New Roman" w:cs="Times New Roman"/>
        </w:rPr>
        <w:t xml:space="preserve">ще бъде </w:t>
      </w:r>
      <w:r w:rsidRPr="00CB7D4F">
        <w:rPr>
          <w:rFonts w:ascii="Times New Roman" w:hAnsi="Times New Roman" w:cs="Times New Roman"/>
        </w:rPr>
        <w:t xml:space="preserve">преодоляването на ниското ниво на компютърни и </w:t>
      </w:r>
      <w:r w:rsidR="00D20631">
        <w:rPr>
          <w:rFonts w:ascii="Times New Roman" w:hAnsi="Times New Roman" w:cs="Times New Roman"/>
        </w:rPr>
        <w:t>цифрови</w:t>
      </w:r>
      <w:r w:rsidRPr="00CB7D4F">
        <w:rPr>
          <w:rFonts w:ascii="Times New Roman" w:hAnsi="Times New Roman" w:cs="Times New Roman"/>
        </w:rPr>
        <w:t xml:space="preserve"> умения на човешките ресурси в страната, което препятства широкото използване на ИКТ и базираните на тях услуги и постигането на цифров растеж.</w:t>
      </w:r>
      <w:r>
        <w:rPr>
          <w:rFonts w:ascii="Times New Roman" w:hAnsi="Times New Roman" w:cs="Times New Roman"/>
        </w:rPr>
        <w:t xml:space="preserve"> Мерките ще имат специална насоченост към безработните, икономически неактивните и представителите на</w:t>
      </w:r>
      <w:r w:rsidRPr="00AE4160">
        <w:t xml:space="preserve"> </w:t>
      </w:r>
      <w:r w:rsidRPr="00AE4160">
        <w:rPr>
          <w:rFonts w:ascii="Times New Roman" w:hAnsi="Times New Roman" w:cs="Times New Roman"/>
        </w:rPr>
        <w:t>групи</w:t>
      </w:r>
      <w:r>
        <w:rPr>
          <w:rFonts w:ascii="Times New Roman" w:hAnsi="Times New Roman" w:cs="Times New Roman"/>
        </w:rPr>
        <w:t>те</w:t>
      </w:r>
      <w:r w:rsidRPr="00AE4160">
        <w:rPr>
          <w:rFonts w:ascii="Times New Roman" w:hAnsi="Times New Roman" w:cs="Times New Roman"/>
        </w:rPr>
        <w:t xml:space="preserve"> в неравностойно положение</w:t>
      </w:r>
      <w:r>
        <w:rPr>
          <w:rFonts w:ascii="Times New Roman" w:hAnsi="Times New Roman" w:cs="Times New Roman"/>
        </w:rPr>
        <w:t xml:space="preserve">, като </w:t>
      </w:r>
      <w:r w:rsidRPr="00E72359">
        <w:rPr>
          <w:rFonts w:ascii="Times New Roman" w:hAnsi="Times New Roman" w:cs="Times New Roman"/>
        </w:rPr>
        <w:t>по този начин освен целевите икономически ефекти ще се адресира и социалното изключване</w:t>
      </w:r>
      <w:r>
        <w:rPr>
          <w:rFonts w:ascii="Times New Roman" w:hAnsi="Times New Roman" w:cs="Times New Roman"/>
        </w:rPr>
        <w:t xml:space="preserve">. Основен инструмент в изграждането на необходимите дигитални умения в населението ще бъде разгръщането на партньорства с частния сектор, стъпвайки на добрата практика на </w:t>
      </w:r>
      <w:r w:rsidRPr="00F76004">
        <w:rPr>
          <w:rFonts w:ascii="Times New Roman" w:hAnsi="Times New Roman" w:cs="Times New Roman"/>
        </w:rPr>
        <w:t>Министерството на образованието и науката</w:t>
      </w:r>
      <w:r>
        <w:rPr>
          <w:rFonts w:ascii="Times New Roman" w:hAnsi="Times New Roman" w:cs="Times New Roman"/>
        </w:rPr>
        <w:t xml:space="preserve"> с </w:t>
      </w:r>
      <w:r w:rsidRPr="00F76004">
        <w:rPr>
          <w:rFonts w:ascii="Times New Roman" w:hAnsi="Times New Roman" w:cs="Times New Roman"/>
        </w:rPr>
        <w:t>програмата „</w:t>
      </w:r>
      <w:r w:rsidRPr="00F76004">
        <w:rPr>
          <w:rFonts w:ascii="Times New Roman" w:hAnsi="Times New Roman" w:cs="Times New Roman"/>
          <w:i/>
        </w:rPr>
        <w:t>Образование за ИТ кариера</w:t>
      </w:r>
      <w:r w:rsidRPr="00F76004">
        <w:rPr>
          <w:rFonts w:ascii="Times New Roman" w:hAnsi="Times New Roman" w:cs="Times New Roman"/>
        </w:rPr>
        <w:t>“</w:t>
      </w:r>
      <w:r>
        <w:rPr>
          <w:rFonts w:ascii="Times New Roman" w:hAnsi="Times New Roman" w:cs="Times New Roman"/>
        </w:rPr>
        <w:t>.</w:t>
      </w:r>
    </w:p>
    <w:p w:rsidR="005160D6" w:rsidRPr="00E84404" w:rsidRDefault="005160D6" w:rsidP="005160D6">
      <w:pPr>
        <w:pStyle w:val="Heading3"/>
        <w:numPr>
          <w:ilvl w:val="2"/>
          <w:numId w:val="16"/>
        </w:numPr>
        <w:rPr>
          <w:color w:val="1F497D"/>
        </w:rPr>
      </w:pPr>
      <w:bookmarkStart w:id="48" w:name="_Toc531176076"/>
      <w:bookmarkStart w:id="49" w:name="_Toc791830"/>
      <w:r>
        <w:rPr>
          <w:color w:val="1F497D"/>
        </w:rPr>
        <w:t>Включване в заетост</w:t>
      </w:r>
      <w:bookmarkEnd w:id="48"/>
      <w:bookmarkEnd w:id="49"/>
    </w:p>
    <w:p w:rsidR="005160D6" w:rsidRDefault="005160D6" w:rsidP="005160D6">
      <w:pPr>
        <w:pStyle w:val="ListParagraph"/>
        <w:spacing w:line="269" w:lineRule="auto"/>
        <w:ind w:left="0" w:firstLine="0"/>
        <w:contextualSpacing w:val="0"/>
        <w:jc w:val="both"/>
        <w:rPr>
          <w:rFonts w:ascii="Times New Roman" w:hAnsi="Times New Roman" w:cs="Times New Roman"/>
        </w:rPr>
      </w:pPr>
      <w:r w:rsidRPr="00E72359">
        <w:rPr>
          <w:rFonts w:ascii="Times New Roman" w:hAnsi="Times New Roman" w:cs="Times New Roman"/>
        </w:rPr>
        <w:t xml:space="preserve">Активните мерки на пазара на труда ще продължат да бъдат насочени към повишаване на качеството на работната сила, като адресират основно съществуващите трудови резерви в икономиката, които са извън заетост – </w:t>
      </w:r>
      <w:proofErr w:type="spellStart"/>
      <w:r w:rsidRPr="00E72359">
        <w:rPr>
          <w:rFonts w:ascii="Times New Roman" w:hAnsi="Times New Roman" w:cs="Times New Roman"/>
        </w:rPr>
        <w:t>нискообразованите</w:t>
      </w:r>
      <w:proofErr w:type="spellEnd"/>
      <w:r w:rsidRPr="00E72359">
        <w:rPr>
          <w:rFonts w:ascii="Times New Roman" w:hAnsi="Times New Roman" w:cs="Times New Roman"/>
        </w:rPr>
        <w:t xml:space="preserve"> лица и тези без квалификация, младежите, жените, </w:t>
      </w:r>
      <w:r>
        <w:rPr>
          <w:rFonts w:ascii="Times New Roman" w:hAnsi="Times New Roman" w:cs="Times New Roman"/>
        </w:rPr>
        <w:t xml:space="preserve">хората с увреждания, </w:t>
      </w:r>
      <w:r w:rsidRPr="00E72359">
        <w:rPr>
          <w:rFonts w:ascii="Times New Roman" w:hAnsi="Times New Roman" w:cs="Times New Roman"/>
        </w:rPr>
        <w:t>както и структурно безработните.</w:t>
      </w:r>
      <w:r>
        <w:rPr>
          <w:rFonts w:ascii="Times New Roman" w:hAnsi="Times New Roman" w:cs="Times New Roman"/>
        </w:rPr>
        <w:t xml:space="preserve"> </w:t>
      </w:r>
      <w:r w:rsidRPr="001D6F12">
        <w:rPr>
          <w:rFonts w:ascii="Times New Roman" w:hAnsi="Times New Roman" w:cs="Times New Roman"/>
        </w:rPr>
        <w:t xml:space="preserve">Специален акцент ще бъде поставен върху реализацията на пазара на труда на младите хора и ромите, </w:t>
      </w:r>
      <w:r>
        <w:rPr>
          <w:rFonts w:ascii="Times New Roman" w:hAnsi="Times New Roman" w:cs="Times New Roman"/>
        </w:rPr>
        <w:t>чрез</w:t>
      </w:r>
      <w:r w:rsidRPr="001D6F12">
        <w:rPr>
          <w:rFonts w:ascii="Times New Roman" w:hAnsi="Times New Roman" w:cs="Times New Roman"/>
        </w:rPr>
        <w:t xml:space="preserve"> подкрепа за бърз преход от училище към работа</w:t>
      </w:r>
      <w:r>
        <w:rPr>
          <w:rFonts w:ascii="Times New Roman" w:hAnsi="Times New Roman" w:cs="Times New Roman"/>
        </w:rPr>
        <w:t xml:space="preserve"> и</w:t>
      </w:r>
      <w:r w:rsidRPr="001D6F12">
        <w:rPr>
          <w:rFonts w:ascii="Times New Roman" w:hAnsi="Times New Roman" w:cs="Times New Roman"/>
        </w:rPr>
        <w:t xml:space="preserve"> успешно включване в активен икономически живот, </w:t>
      </w:r>
      <w:r>
        <w:rPr>
          <w:rFonts w:ascii="Times New Roman" w:hAnsi="Times New Roman" w:cs="Times New Roman"/>
        </w:rPr>
        <w:t xml:space="preserve">в т.ч. чрез </w:t>
      </w:r>
      <w:r w:rsidRPr="001D6F12">
        <w:rPr>
          <w:rFonts w:ascii="Times New Roman" w:hAnsi="Times New Roman" w:cs="Times New Roman"/>
        </w:rPr>
        <w:t xml:space="preserve">стажове, професионално, неформално и самостоятелно обучение и развиване на </w:t>
      </w:r>
      <w:r>
        <w:rPr>
          <w:rFonts w:ascii="Times New Roman" w:hAnsi="Times New Roman" w:cs="Times New Roman"/>
        </w:rPr>
        <w:t xml:space="preserve">ключови </w:t>
      </w:r>
      <w:r w:rsidRPr="001D6F12">
        <w:rPr>
          <w:rFonts w:ascii="Times New Roman" w:hAnsi="Times New Roman" w:cs="Times New Roman"/>
        </w:rPr>
        <w:t>умения.</w:t>
      </w:r>
      <w:r>
        <w:rPr>
          <w:rFonts w:ascii="Times New Roman" w:hAnsi="Times New Roman" w:cs="Times New Roman"/>
        </w:rPr>
        <w:t xml:space="preserve"> В стремеж за увеличаване на нивото на икономическа активност </w:t>
      </w:r>
      <w:r w:rsidRPr="001D6F12">
        <w:rPr>
          <w:rFonts w:ascii="Times New Roman" w:hAnsi="Times New Roman" w:cs="Times New Roman"/>
        </w:rPr>
        <w:t>и заетостта на хората със затруднена мобилност или живеещи в селски, планински или отдалечени райони</w:t>
      </w:r>
      <w:r>
        <w:rPr>
          <w:rFonts w:ascii="Times New Roman" w:hAnsi="Times New Roman" w:cs="Times New Roman"/>
        </w:rPr>
        <w:t xml:space="preserve"> ще бъдат</w:t>
      </w:r>
      <w:r w:rsidRPr="001D6F12">
        <w:rPr>
          <w:rFonts w:ascii="Times New Roman" w:hAnsi="Times New Roman" w:cs="Times New Roman"/>
        </w:rPr>
        <w:t xml:space="preserve"> насърчава</w:t>
      </w:r>
      <w:r>
        <w:rPr>
          <w:rFonts w:ascii="Times New Roman" w:hAnsi="Times New Roman" w:cs="Times New Roman"/>
        </w:rPr>
        <w:t>н</w:t>
      </w:r>
      <w:r w:rsidRPr="001D6F12">
        <w:rPr>
          <w:rFonts w:ascii="Times New Roman" w:hAnsi="Times New Roman" w:cs="Times New Roman"/>
        </w:rPr>
        <w:t>и иновативни практики, самостоятелна заетост, предприемачество и мобилност.</w:t>
      </w:r>
      <w:r>
        <w:rPr>
          <w:rFonts w:ascii="Times New Roman" w:hAnsi="Times New Roman" w:cs="Times New Roman"/>
        </w:rPr>
        <w:t xml:space="preserve"> В условия на ниски и намаляващи нива на демографско заместване щ</w:t>
      </w:r>
      <w:r w:rsidRPr="00392D46">
        <w:rPr>
          <w:rFonts w:ascii="Times New Roman" w:hAnsi="Times New Roman" w:cs="Times New Roman"/>
        </w:rPr>
        <w:t xml:space="preserve">е </w:t>
      </w:r>
      <w:r>
        <w:rPr>
          <w:rFonts w:ascii="Times New Roman" w:hAnsi="Times New Roman" w:cs="Times New Roman"/>
        </w:rPr>
        <w:t>продължи реализацията на интервенции</w:t>
      </w:r>
      <w:r w:rsidRPr="00392D46">
        <w:rPr>
          <w:rFonts w:ascii="Times New Roman" w:hAnsi="Times New Roman" w:cs="Times New Roman"/>
        </w:rPr>
        <w:t xml:space="preserve"> за повишаване пригодността за заетост и адаптивността на по-възрастните с цел по-дългото оставане на пазара на труда.</w:t>
      </w:r>
      <w:r w:rsidRPr="00C144BB">
        <w:rPr>
          <w:rFonts w:ascii="Times New Roman" w:hAnsi="Times New Roman" w:cs="Times New Roman"/>
        </w:rPr>
        <w:t xml:space="preserve"> </w:t>
      </w:r>
      <w:r w:rsidRPr="001D6F12">
        <w:rPr>
          <w:rFonts w:ascii="Times New Roman" w:hAnsi="Times New Roman" w:cs="Times New Roman"/>
        </w:rPr>
        <w:t xml:space="preserve">Ще се </w:t>
      </w:r>
      <w:r>
        <w:rPr>
          <w:rFonts w:ascii="Times New Roman" w:hAnsi="Times New Roman" w:cs="Times New Roman"/>
        </w:rPr>
        <w:t>подкрепят</w:t>
      </w:r>
      <w:r w:rsidRPr="001D6F12">
        <w:rPr>
          <w:rFonts w:ascii="Times New Roman" w:hAnsi="Times New Roman" w:cs="Times New Roman"/>
        </w:rPr>
        <w:t xml:space="preserve"> мерки за насърчаване на икономическата диверсификация, за създаване на работни места в сектори с </w:t>
      </w:r>
      <w:r>
        <w:rPr>
          <w:rFonts w:ascii="Times New Roman" w:hAnsi="Times New Roman" w:cs="Times New Roman"/>
        </w:rPr>
        <w:t xml:space="preserve">висока </w:t>
      </w:r>
      <w:r w:rsidRPr="001D6F12">
        <w:rPr>
          <w:rFonts w:ascii="Times New Roman" w:hAnsi="Times New Roman" w:cs="Times New Roman"/>
        </w:rPr>
        <w:t xml:space="preserve">добавена стойност и преход към </w:t>
      </w:r>
      <w:proofErr w:type="spellStart"/>
      <w:r w:rsidRPr="001D6F12">
        <w:rPr>
          <w:rFonts w:ascii="Times New Roman" w:hAnsi="Times New Roman" w:cs="Times New Roman"/>
        </w:rPr>
        <w:t>нисковъглеродна</w:t>
      </w:r>
      <w:proofErr w:type="spellEnd"/>
      <w:r w:rsidRPr="001D6F12">
        <w:rPr>
          <w:rFonts w:ascii="Times New Roman" w:hAnsi="Times New Roman" w:cs="Times New Roman"/>
        </w:rPr>
        <w:t xml:space="preserve"> икономика, и за развитие на алтернативна заетост, като форма на подкрепа на индивидуалното и социално предприемачество.</w:t>
      </w:r>
      <w:r>
        <w:rPr>
          <w:rFonts w:ascii="Times New Roman" w:hAnsi="Times New Roman" w:cs="Times New Roman"/>
        </w:rPr>
        <w:t xml:space="preserve"> Предмет на целенасочена подкрепа ще останат </w:t>
      </w:r>
      <w:r w:rsidRPr="00C144BB">
        <w:rPr>
          <w:rFonts w:ascii="Times New Roman" w:hAnsi="Times New Roman" w:cs="Times New Roman"/>
        </w:rPr>
        <w:t>инициативи и мерки за улесняване на достъпа до работа, подобряване условията на труд и качеството на работните места</w:t>
      </w:r>
      <w:r>
        <w:rPr>
          <w:rFonts w:ascii="Times New Roman" w:hAnsi="Times New Roman" w:cs="Times New Roman"/>
        </w:rPr>
        <w:t xml:space="preserve"> и</w:t>
      </w:r>
      <w:r w:rsidRPr="00C144BB">
        <w:rPr>
          <w:rFonts w:ascii="Times New Roman" w:hAnsi="Times New Roman" w:cs="Times New Roman"/>
        </w:rPr>
        <w:t xml:space="preserve"> съчетаване на </w:t>
      </w:r>
      <w:r>
        <w:rPr>
          <w:rFonts w:ascii="Times New Roman" w:hAnsi="Times New Roman" w:cs="Times New Roman"/>
        </w:rPr>
        <w:t>семейния и професионалния живот.</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sidRPr="00392D46">
        <w:rPr>
          <w:rFonts w:ascii="Times New Roman" w:hAnsi="Times New Roman" w:cs="Times New Roman"/>
        </w:rPr>
        <w:t>Ще продължи полагането на усилия за укрепване на административния капацитет на институциите за посредничество на пазара на труда, включително на Националната служба по заетостта,</w:t>
      </w:r>
      <w:r>
        <w:rPr>
          <w:rFonts w:ascii="Times New Roman" w:hAnsi="Times New Roman" w:cs="Times New Roman"/>
        </w:rPr>
        <w:t xml:space="preserve"> и дизайн на </w:t>
      </w:r>
      <w:r w:rsidRPr="00392D46">
        <w:rPr>
          <w:rFonts w:ascii="Times New Roman" w:hAnsi="Times New Roman" w:cs="Times New Roman"/>
        </w:rPr>
        <w:lastRenderedPageBreak/>
        <w:t>инструменти</w:t>
      </w:r>
      <w:r>
        <w:rPr>
          <w:rFonts w:ascii="Times New Roman" w:hAnsi="Times New Roman" w:cs="Times New Roman"/>
        </w:rPr>
        <w:t xml:space="preserve"> и политики</w:t>
      </w:r>
      <w:r w:rsidRPr="00392D46">
        <w:rPr>
          <w:rFonts w:ascii="Times New Roman" w:hAnsi="Times New Roman" w:cs="Times New Roman"/>
        </w:rPr>
        <w:t xml:space="preserve">, </w:t>
      </w:r>
      <w:r>
        <w:rPr>
          <w:rFonts w:ascii="Times New Roman" w:hAnsi="Times New Roman" w:cs="Times New Roman"/>
        </w:rPr>
        <w:t xml:space="preserve">чрез които да се гарантира </w:t>
      </w:r>
      <w:r w:rsidRPr="00392D46">
        <w:rPr>
          <w:rFonts w:ascii="Times New Roman" w:hAnsi="Times New Roman" w:cs="Times New Roman"/>
        </w:rPr>
        <w:t>по</w:t>
      </w:r>
      <w:r>
        <w:rPr>
          <w:rFonts w:ascii="Times New Roman" w:hAnsi="Times New Roman" w:cs="Times New Roman"/>
        </w:rPr>
        <w:t xml:space="preserve">вишаване на </w:t>
      </w:r>
      <w:r w:rsidRPr="00392D46">
        <w:rPr>
          <w:rFonts w:ascii="Times New Roman" w:hAnsi="Times New Roman" w:cs="Times New Roman"/>
        </w:rPr>
        <w:t>ефекти</w:t>
      </w:r>
      <w:r>
        <w:rPr>
          <w:rFonts w:ascii="Times New Roman" w:hAnsi="Times New Roman" w:cs="Times New Roman"/>
        </w:rPr>
        <w:t xml:space="preserve">вността на </w:t>
      </w:r>
      <w:r w:rsidRPr="00392D46">
        <w:rPr>
          <w:rFonts w:ascii="Times New Roman" w:hAnsi="Times New Roman" w:cs="Times New Roman"/>
        </w:rPr>
        <w:t>обществени</w:t>
      </w:r>
      <w:r>
        <w:rPr>
          <w:rFonts w:ascii="Times New Roman" w:hAnsi="Times New Roman" w:cs="Times New Roman"/>
        </w:rPr>
        <w:t>те</w:t>
      </w:r>
      <w:r w:rsidRPr="00392D46">
        <w:rPr>
          <w:rFonts w:ascii="Times New Roman" w:hAnsi="Times New Roman" w:cs="Times New Roman"/>
        </w:rPr>
        <w:t xml:space="preserve"> услуги в областта на заетостта, както и за своевременна и адекватна реакция към структурните промени на пазара на труда</w:t>
      </w:r>
      <w:r>
        <w:rPr>
          <w:rFonts w:ascii="Times New Roman" w:hAnsi="Times New Roman" w:cs="Times New Roman"/>
        </w:rPr>
        <w:t>.</w:t>
      </w:r>
    </w:p>
    <w:p w:rsidR="005160D6" w:rsidRPr="00E84404" w:rsidRDefault="005160D6" w:rsidP="005160D6">
      <w:pPr>
        <w:pStyle w:val="Heading3"/>
        <w:numPr>
          <w:ilvl w:val="2"/>
          <w:numId w:val="16"/>
        </w:numPr>
        <w:rPr>
          <w:color w:val="1F497D"/>
        </w:rPr>
      </w:pPr>
      <w:bookmarkStart w:id="50" w:name="_Toc791831"/>
      <w:r>
        <w:rPr>
          <w:color w:val="1F497D"/>
        </w:rPr>
        <w:t>Подобряване на здравните характеристики на работната сила</w:t>
      </w:r>
      <w:bookmarkEnd w:id="50"/>
    </w:p>
    <w:p w:rsidR="005160D6" w:rsidRPr="009455D1"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В рамките на политиката на правителството за повишаване на качеството на човешкия капитал в страната специални усилия ще бъдат положени за подобряване на здравните характеристики на населението и на работната сила, в частност. Основен фокус ще бъде адресирането на високите нива на рискови фактори, застрашаващи здравето на населението, като </w:t>
      </w:r>
      <w:r w:rsidRPr="00943204">
        <w:rPr>
          <w:rFonts w:ascii="Times New Roman" w:hAnsi="Times New Roman" w:cs="Times New Roman"/>
        </w:rPr>
        <w:t>тютюнопушене, употреба на алкохол, затлъстяване, небалансирано хранене и ниска двигателна активност</w:t>
      </w:r>
      <w:r>
        <w:rPr>
          <w:rFonts w:ascii="Times New Roman" w:hAnsi="Times New Roman" w:cs="Times New Roman"/>
        </w:rPr>
        <w:t>. С цел намаляване на преждевременната и предотвратимата смъртност ще бъдат търсени начини и средства за повишаване на ефективността на усилията за  зас</w:t>
      </w:r>
      <w:r w:rsidRPr="00943204">
        <w:rPr>
          <w:rFonts w:ascii="Times New Roman" w:hAnsi="Times New Roman" w:cs="Times New Roman"/>
        </w:rPr>
        <w:t>илване на здравната промоция и превенция</w:t>
      </w:r>
      <w:r>
        <w:rPr>
          <w:rFonts w:ascii="Times New Roman" w:hAnsi="Times New Roman" w:cs="Times New Roman"/>
        </w:rPr>
        <w:t xml:space="preserve">, включително за </w:t>
      </w:r>
      <w:r w:rsidRPr="009455D1">
        <w:rPr>
          <w:rFonts w:ascii="Times New Roman" w:hAnsi="Times New Roman" w:cs="Times New Roman"/>
        </w:rPr>
        <w:t>повишаването на здравната култура, особено сред малцинствените групи</w:t>
      </w:r>
      <w:r>
        <w:rPr>
          <w:rFonts w:ascii="Times New Roman" w:hAnsi="Times New Roman" w:cs="Times New Roman"/>
        </w:rPr>
        <w:t>.</w:t>
      </w:r>
    </w:p>
    <w:p w:rsidR="005160D6" w:rsidRPr="00EC3461" w:rsidRDefault="005160D6" w:rsidP="005160D6">
      <w:pPr>
        <w:pStyle w:val="Heading2"/>
        <w:numPr>
          <w:ilvl w:val="1"/>
          <w:numId w:val="16"/>
        </w:numPr>
        <w:rPr>
          <w:color w:val="1F497D"/>
        </w:rPr>
      </w:pPr>
      <w:bookmarkStart w:id="51" w:name="_Toc531176080"/>
      <w:bookmarkStart w:id="52" w:name="_Toc791832"/>
      <w:r w:rsidRPr="00EC3461">
        <w:rPr>
          <w:color w:val="1F497D"/>
        </w:rPr>
        <w:t xml:space="preserve">Подобряване на </w:t>
      </w:r>
      <w:r>
        <w:rPr>
          <w:color w:val="1F497D"/>
        </w:rPr>
        <w:t>свързаността</w:t>
      </w:r>
      <w:r w:rsidRPr="00EC3461">
        <w:rPr>
          <w:color w:val="1F497D"/>
        </w:rPr>
        <w:t xml:space="preserve"> и цифровизация на икономиката</w:t>
      </w:r>
      <w:bookmarkEnd w:id="51"/>
      <w:bookmarkEnd w:id="52"/>
    </w:p>
    <w:p w:rsidR="005160D6" w:rsidRDefault="005160D6" w:rsidP="005160D6">
      <w:pPr>
        <w:pStyle w:val="ListParagraph"/>
        <w:spacing w:line="269" w:lineRule="auto"/>
        <w:ind w:left="0" w:firstLine="0"/>
        <w:contextualSpacing w:val="0"/>
        <w:jc w:val="both"/>
        <w:rPr>
          <w:rFonts w:ascii="Times New Roman" w:hAnsi="Times New Roman" w:cs="Times New Roman"/>
        </w:rPr>
      </w:pPr>
      <w:r w:rsidRPr="002B4FBA">
        <w:rPr>
          <w:rFonts w:ascii="Times New Roman" w:hAnsi="Times New Roman" w:cs="Times New Roman"/>
        </w:rPr>
        <w:t xml:space="preserve">Приоритетът е насочен към осигуряване на предпоставки за повишаването на конкурентоспособността на икономиката, каквито са по-добрата институционална и бизнес среда и дигитализирането на икономиката. </w:t>
      </w:r>
      <w:r>
        <w:rPr>
          <w:rFonts w:ascii="Times New Roman" w:hAnsi="Times New Roman" w:cs="Times New Roman"/>
        </w:rPr>
        <w:t>Подобряването на свързаността и насърчаването на цифровата трансформация на стопанската дейност, при ускорено въвеждане на електронно управление</w:t>
      </w:r>
      <w:r w:rsidRPr="00F703A1">
        <w:rPr>
          <w:rFonts w:ascii="Times New Roman" w:hAnsi="Times New Roman" w:cs="Times New Roman"/>
        </w:rPr>
        <w:t>, има</w:t>
      </w:r>
      <w:r>
        <w:rPr>
          <w:rFonts w:ascii="Times New Roman" w:hAnsi="Times New Roman" w:cs="Times New Roman"/>
        </w:rPr>
        <w:t>т</w:t>
      </w:r>
      <w:r w:rsidRPr="00F703A1">
        <w:rPr>
          <w:rFonts w:ascii="Times New Roman" w:hAnsi="Times New Roman" w:cs="Times New Roman"/>
        </w:rPr>
        <w:t xml:space="preserve"> потенциала да довед</w:t>
      </w:r>
      <w:r>
        <w:rPr>
          <w:rFonts w:ascii="Times New Roman" w:hAnsi="Times New Roman" w:cs="Times New Roman"/>
        </w:rPr>
        <w:t>ат</w:t>
      </w:r>
      <w:r w:rsidRPr="00F703A1">
        <w:rPr>
          <w:rFonts w:ascii="Times New Roman" w:hAnsi="Times New Roman" w:cs="Times New Roman"/>
        </w:rPr>
        <w:t xml:space="preserve"> до значително по-благоприятни за страната позиции в глобалните вериги на стойността и качествен скок по отношение на производителност</w:t>
      </w:r>
      <w:r>
        <w:rPr>
          <w:rFonts w:ascii="Times New Roman" w:hAnsi="Times New Roman" w:cs="Times New Roman"/>
        </w:rPr>
        <w:t>та</w:t>
      </w:r>
      <w:r w:rsidRPr="00F703A1">
        <w:rPr>
          <w:rFonts w:ascii="Times New Roman" w:hAnsi="Times New Roman" w:cs="Times New Roman"/>
        </w:rPr>
        <w:t xml:space="preserve"> и жизнен</w:t>
      </w:r>
      <w:r>
        <w:rPr>
          <w:rFonts w:ascii="Times New Roman" w:hAnsi="Times New Roman" w:cs="Times New Roman"/>
        </w:rPr>
        <w:t>ия</w:t>
      </w:r>
      <w:r w:rsidRPr="00F703A1">
        <w:rPr>
          <w:rFonts w:ascii="Times New Roman" w:hAnsi="Times New Roman" w:cs="Times New Roman"/>
        </w:rPr>
        <w:t xml:space="preserve"> стандарт.</w:t>
      </w:r>
      <w:r>
        <w:rPr>
          <w:rFonts w:ascii="Times New Roman" w:hAnsi="Times New Roman" w:cs="Times New Roman"/>
        </w:rPr>
        <w:t xml:space="preserve"> </w:t>
      </w:r>
      <w:r w:rsidRPr="00516571">
        <w:rPr>
          <w:rFonts w:ascii="Times New Roman" w:hAnsi="Times New Roman" w:cs="Times New Roman"/>
        </w:rPr>
        <w:t>Мерките и дейностите, които ще се изпълняват в рамките на приоритета, са в пряка връзка с постигането на две от основните цели на Политиката за сближаване през следващия програмен период – „</w:t>
      </w:r>
      <w:r w:rsidRPr="00516571">
        <w:rPr>
          <w:rFonts w:ascii="Times New Roman" w:hAnsi="Times New Roman" w:cs="Times New Roman"/>
          <w:i/>
        </w:rPr>
        <w:t>Цел на политиката 1: По-интелигентна Европа чрез насърчаване на иновативния и интелигентен икономически преход</w:t>
      </w:r>
      <w:r w:rsidRPr="00516571">
        <w:rPr>
          <w:rFonts w:ascii="Times New Roman" w:hAnsi="Times New Roman" w:cs="Times New Roman"/>
        </w:rPr>
        <w:t>“ и „</w:t>
      </w:r>
      <w:r w:rsidRPr="00516571">
        <w:rPr>
          <w:rFonts w:ascii="Times New Roman" w:hAnsi="Times New Roman" w:cs="Times New Roman"/>
          <w:i/>
        </w:rPr>
        <w:t>Цел на политиката 3: По-добре свързана Европа чрез подобряване на мобилността и регионалната свързаност на ИКТ</w:t>
      </w:r>
      <w:r w:rsidRPr="00516571">
        <w:rPr>
          <w:rFonts w:ascii="Times New Roman" w:hAnsi="Times New Roman" w:cs="Times New Roman"/>
        </w:rPr>
        <w:t>“.</w:t>
      </w:r>
      <w:r w:rsidRPr="00516571">
        <w:t xml:space="preserve"> </w:t>
      </w:r>
      <w:r w:rsidRPr="00516571">
        <w:rPr>
          <w:rFonts w:ascii="Times New Roman" w:hAnsi="Times New Roman" w:cs="Times New Roman"/>
        </w:rPr>
        <w:t>Същевременно, успехът в постигането на целите на приоритета ще е от ключово значение и за постигането на друга от целите на Кохезионната политика в периода 2021-2027 г. – „</w:t>
      </w:r>
      <w:r w:rsidRPr="00516571">
        <w:rPr>
          <w:rFonts w:ascii="Times New Roman" w:hAnsi="Times New Roman" w:cs="Times New Roman"/>
          <w:i/>
        </w:rPr>
        <w:t xml:space="preserve">Цел на политиката </w:t>
      </w:r>
      <w:r>
        <w:rPr>
          <w:rFonts w:ascii="Times New Roman" w:hAnsi="Times New Roman" w:cs="Times New Roman"/>
          <w:i/>
        </w:rPr>
        <w:t>5</w:t>
      </w:r>
      <w:r w:rsidRPr="00516571">
        <w:rPr>
          <w:rFonts w:ascii="Times New Roman" w:hAnsi="Times New Roman" w:cs="Times New Roman"/>
          <w:i/>
        </w:rPr>
        <w:t>: Една Европа по-близка до гражданите чрез насърчаване на устойчиво и интегрирано развитие на градските, селските и крайбрежните райони и местните инициативи</w:t>
      </w:r>
      <w:r w:rsidRPr="00516571">
        <w:rPr>
          <w:rFonts w:ascii="Times New Roman" w:hAnsi="Times New Roman" w:cs="Times New Roman"/>
        </w:rPr>
        <w:t xml:space="preserve">“, доколкото </w:t>
      </w:r>
      <w:r>
        <w:rPr>
          <w:rFonts w:ascii="Times New Roman" w:hAnsi="Times New Roman" w:cs="Times New Roman"/>
        </w:rPr>
        <w:t xml:space="preserve">подобряването на свързаността (транспортна и цифрова) </w:t>
      </w:r>
      <w:r w:rsidRPr="00516571">
        <w:rPr>
          <w:rFonts w:ascii="Times New Roman" w:hAnsi="Times New Roman" w:cs="Times New Roman"/>
        </w:rPr>
        <w:t xml:space="preserve">е изходна предпоставка и необходимо условие за </w:t>
      </w:r>
      <w:r>
        <w:rPr>
          <w:rFonts w:ascii="Times New Roman" w:hAnsi="Times New Roman" w:cs="Times New Roman"/>
        </w:rPr>
        <w:t>устойчивото развитие на регионите</w:t>
      </w:r>
      <w:r w:rsidRPr="00516571">
        <w:rPr>
          <w:rFonts w:ascii="Times New Roman" w:hAnsi="Times New Roman" w:cs="Times New Roman"/>
        </w:rPr>
        <w:t>.</w:t>
      </w:r>
    </w:p>
    <w:p w:rsidR="005160D6" w:rsidRPr="00E84404" w:rsidRDefault="005160D6" w:rsidP="005160D6">
      <w:pPr>
        <w:pStyle w:val="Heading3"/>
        <w:numPr>
          <w:ilvl w:val="2"/>
          <w:numId w:val="16"/>
        </w:numPr>
        <w:rPr>
          <w:color w:val="1F497D"/>
        </w:rPr>
      </w:pPr>
      <w:bookmarkStart w:id="53" w:name="_Toc531176081"/>
      <w:bookmarkStart w:id="54" w:name="_Toc791833"/>
      <w:r>
        <w:rPr>
          <w:color w:val="1F497D"/>
        </w:rPr>
        <w:t>Цифрова инфраструктура</w:t>
      </w:r>
      <w:bookmarkEnd w:id="53"/>
      <w:bookmarkEnd w:id="54"/>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Основен фокус на политиката ще остане изграждането на </w:t>
      </w:r>
      <w:r w:rsidRPr="001F4280">
        <w:rPr>
          <w:rFonts w:ascii="Times New Roman" w:hAnsi="Times New Roman" w:cs="Times New Roman"/>
        </w:rPr>
        <w:t>модерна широколентовата инфраструктура</w:t>
      </w:r>
      <w:r>
        <w:rPr>
          <w:rFonts w:ascii="Times New Roman" w:hAnsi="Times New Roman" w:cs="Times New Roman"/>
        </w:rPr>
        <w:t xml:space="preserve">, предвид ключовото й значение </w:t>
      </w:r>
      <w:r w:rsidRPr="001F4280">
        <w:rPr>
          <w:rFonts w:ascii="Times New Roman" w:hAnsi="Times New Roman" w:cs="Times New Roman"/>
        </w:rPr>
        <w:t>за постигането на цифров растеж</w:t>
      </w:r>
      <w:r>
        <w:rPr>
          <w:rFonts w:ascii="Times New Roman" w:hAnsi="Times New Roman" w:cs="Times New Roman"/>
        </w:rPr>
        <w:t xml:space="preserve">, при интензифициране на </w:t>
      </w:r>
      <w:r w:rsidRPr="009231F7">
        <w:rPr>
          <w:rFonts w:ascii="Times New Roman" w:hAnsi="Times New Roman" w:cs="Times New Roman"/>
        </w:rPr>
        <w:t>усилията по подобряване и ускоряване разгръщането на широколентовия достъп до интернет</w:t>
      </w:r>
      <w:r>
        <w:rPr>
          <w:rFonts w:ascii="Times New Roman" w:hAnsi="Times New Roman" w:cs="Times New Roman"/>
        </w:rPr>
        <w:t xml:space="preserve">. Специално ще бъдат адресирани селските и отдалечени райони в страната, които понастоящем изостават в свързаността си, като по този начин ще се намали риска от цифрово изключване, с импликации върху атрактивността им като място за живот, туризъм и стопанска активност. Акцент ще бъде изграждането на мрежи и </w:t>
      </w:r>
      <w:r w:rsidRPr="009231F7">
        <w:rPr>
          <w:rFonts w:ascii="Times New Roman" w:hAnsi="Times New Roman" w:cs="Times New Roman"/>
        </w:rPr>
        <w:t xml:space="preserve">разпространението на </w:t>
      </w:r>
      <w:proofErr w:type="spellStart"/>
      <w:r w:rsidRPr="009231F7">
        <w:rPr>
          <w:rFonts w:ascii="Times New Roman" w:hAnsi="Times New Roman" w:cs="Times New Roman"/>
        </w:rPr>
        <w:t>свръхбърз</w:t>
      </w:r>
      <w:proofErr w:type="spellEnd"/>
      <w:r w:rsidRPr="009231F7">
        <w:rPr>
          <w:rFonts w:ascii="Times New Roman" w:hAnsi="Times New Roman" w:cs="Times New Roman"/>
        </w:rPr>
        <w:t xml:space="preserve"> широколентов интернет (FTTP или </w:t>
      </w:r>
      <w:proofErr w:type="spellStart"/>
      <w:r w:rsidRPr="009231F7">
        <w:rPr>
          <w:rFonts w:ascii="Times New Roman" w:hAnsi="Times New Roman" w:cs="Times New Roman"/>
        </w:rPr>
        <w:t>Docsis</w:t>
      </w:r>
      <w:proofErr w:type="spellEnd"/>
      <w:r w:rsidRPr="009231F7">
        <w:rPr>
          <w:rFonts w:ascii="Times New Roman" w:hAnsi="Times New Roman" w:cs="Times New Roman"/>
        </w:rPr>
        <w:t xml:space="preserve"> 3.0)</w:t>
      </w:r>
      <w:r>
        <w:rPr>
          <w:rFonts w:ascii="Times New Roman" w:hAnsi="Times New Roman" w:cs="Times New Roman"/>
        </w:rPr>
        <w:t>. Паралелно, ще бъдат осигурени предпоставки за разгръщане на 5</w:t>
      </w:r>
      <w:r>
        <w:rPr>
          <w:rFonts w:ascii="Times New Roman" w:hAnsi="Times New Roman" w:cs="Times New Roman"/>
          <w:lang w:val="en-US"/>
        </w:rPr>
        <w:t>G</w:t>
      </w:r>
      <w:r>
        <w:rPr>
          <w:rFonts w:ascii="Times New Roman" w:hAnsi="Times New Roman" w:cs="Times New Roman"/>
        </w:rPr>
        <w:t xml:space="preserve"> свързаност, като бъдат предприети мерки  за </w:t>
      </w:r>
      <w:r w:rsidRPr="009231F7">
        <w:rPr>
          <w:rFonts w:ascii="Times New Roman" w:hAnsi="Times New Roman" w:cs="Times New Roman"/>
        </w:rPr>
        <w:t>навременно предоставяне на подходящ радиочестотен спектър на всички участници на пазара с цел провеждане на ранни тестове и разгръщане на 5G мрежи</w:t>
      </w:r>
      <w:r>
        <w:rPr>
          <w:rFonts w:ascii="Times New Roman" w:hAnsi="Times New Roman" w:cs="Times New Roman"/>
        </w:rPr>
        <w:t xml:space="preserve">, които ще са </w:t>
      </w:r>
      <w:r w:rsidRPr="00587A8C">
        <w:rPr>
          <w:rFonts w:ascii="Times New Roman" w:hAnsi="Times New Roman" w:cs="Times New Roman"/>
        </w:rPr>
        <w:t>артериите на бъдещата икономика</w:t>
      </w:r>
      <w:r>
        <w:rPr>
          <w:rFonts w:ascii="Times New Roman" w:hAnsi="Times New Roman" w:cs="Times New Roman"/>
        </w:rPr>
        <w:t>.</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Изграждането на модерна цифрова инфраструктура, заедно с паралелните усилия за повишаване на нивото на необходимите цифрови умения в населението по приоритет „</w:t>
      </w:r>
      <w:r w:rsidRPr="008B5CE9">
        <w:rPr>
          <w:rFonts w:ascii="Times New Roman" w:hAnsi="Times New Roman" w:cs="Times New Roman"/>
          <w:i/>
        </w:rPr>
        <w:t>Образование и обучение за високо квалифицирана работна сила</w:t>
      </w:r>
      <w:r>
        <w:rPr>
          <w:rFonts w:ascii="Times New Roman" w:hAnsi="Times New Roman" w:cs="Times New Roman"/>
        </w:rPr>
        <w:t>“, както и подпомагането на процеса на дигитализация на стопанската активност, ще позволи трансформация на икономиката в такава</w:t>
      </w:r>
      <w:r w:rsidRPr="008B5CE9">
        <w:rPr>
          <w:rFonts w:ascii="Times New Roman" w:hAnsi="Times New Roman" w:cs="Times New Roman"/>
        </w:rPr>
        <w:t xml:space="preserve">, основана на знанието, </w:t>
      </w:r>
      <w:r>
        <w:rPr>
          <w:rFonts w:ascii="Times New Roman" w:hAnsi="Times New Roman" w:cs="Times New Roman"/>
        </w:rPr>
        <w:t xml:space="preserve">в </w:t>
      </w:r>
      <w:r>
        <w:rPr>
          <w:rFonts w:ascii="Times New Roman" w:hAnsi="Times New Roman" w:cs="Times New Roman"/>
        </w:rPr>
        <w:lastRenderedPageBreak/>
        <w:t>условия н</w:t>
      </w:r>
      <w:r w:rsidRPr="008B5CE9">
        <w:rPr>
          <w:rFonts w:ascii="Times New Roman" w:hAnsi="Times New Roman" w:cs="Times New Roman"/>
        </w:rPr>
        <w:t>а иновативно и приобщаващо информационно общество, осигуряващо високо качество на живот на гражданите</w:t>
      </w:r>
      <w:r>
        <w:rPr>
          <w:rFonts w:ascii="Times New Roman" w:hAnsi="Times New Roman" w:cs="Times New Roman"/>
        </w:rPr>
        <w:t>.</w:t>
      </w:r>
    </w:p>
    <w:p w:rsidR="005160D6" w:rsidRPr="00E84404" w:rsidRDefault="005160D6" w:rsidP="005160D6">
      <w:pPr>
        <w:pStyle w:val="Heading3"/>
        <w:numPr>
          <w:ilvl w:val="2"/>
          <w:numId w:val="16"/>
        </w:numPr>
        <w:rPr>
          <w:color w:val="1F497D"/>
        </w:rPr>
      </w:pPr>
      <w:bookmarkStart w:id="55" w:name="_Toc531176082"/>
      <w:bookmarkStart w:id="56" w:name="_Toc791834"/>
      <w:r>
        <w:rPr>
          <w:color w:val="1F497D"/>
        </w:rPr>
        <w:t>Свързаност и достъпност</w:t>
      </w:r>
      <w:bookmarkEnd w:id="55"/>
      <w:bookmarkEnd w:id="56"/>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Едновременно с усилията за изграждане на дигитална инфраструктура, ще продължат интервенциите, насочени към насърчаване и подпомагане на цифровизацията на бизнеса, при разширяване на обхвата им и фокусиране върху ефективността им.</w:t>
      </w:r>
      <w:r w:rsidRPr="00587A8C">
        <w:t xml:space="preserve"> </w:t>
      </w:r>
      <w:r w:rsidRPr="00587A8C">
        <w:rPr>
          <w:rFonts w:ascii="Times New Roman" w:hAnsi="Times New Roman" w:cs="Times New Roman"/>
        </w:rPr>
        <w:t>Концепция</w:t>
      </w:r>
      <w:r>
        <w:rPr>
          <w:rFonts w:ascii="Times New Roman" w:hAnsi="Times New Roman" w:cs="Times New Roman"/>
        </w:rPr>
        <w:t>та</w:t>
      </w:r>
      <w:r w:rsidRPr="00587A8C">
        <w:rPr>
          <w:rFonts w:ascii="Times New Roman" w:hAnsi="Times New Roman" w:cs="Times New Roman"/>
        </w:rPr>
        <w:t xml:space="preserve"> за цифрова трансформация на българската индустрия </w:t>
      </w:r>
      <w:r>
        <w:rPr>
          <w:rFonts w:ascii="Times New Roman" w:hAnsi="Times New Roman" w:cs="Times New Roman"/>
        </w:rPr>
        <w:t>ще бъде</w:t>
      </w:r>
      <w:r w:rsidRPr="00587A8C">
        <w:rPr>
          <w:rFonts w:ascii="Times New Roman" w:hAnsi="Times New Roman" w:cs="Times New Roman"/>
        </w:rPr>
        <w:t xml:space="preserve"> </w:t>
      </w:r>
      <w:proofErr w:type="spellStart"/>
      <w:r w:rsidRPr="00587A8C">
        <w:rPr>
          <w:rFonts w:ascii="Times New Roman" w:hAnsi="Times New Roman" w:cs="Times New Roman"/>
        </w:rPr>
        <w:t>операционализиран</w:t>
      </w:r>
      <w:r>
        <w:rPr>
          <w:rFonts w:ascii="Times New Roman" w:hAnsi="Times New Roman" w:cs="Times New Roman"/>
        </w:rPr>
        <w:t>а</w:t>
      </w:r>
      <w:proofErr w:type="spellEnd"/>
      <w:r>
        <w:rPr>
          <w:rFonts w:ascii="Times New Roman" w:hAnsi="Times New Roman" w:cs="Times New Roman"/>
        </w:rPr>
        <w:t>, като в допълнение към специално насочените средства от ЕС ще бъде предвиден и национален ресурс в рамките на годишни планове за действие. О</w:t>
      </w:r>
      <w:r w:rsidRPr="00587A8C">
        <w:rPr>
          <w:rFonts w:ascii="Times New Roman" w:hAnsi="Times New Roman" w:cs="Times New Roman"/>
        </w:rPr>
        <w:t>сигуряване</w:t>
      </w:r>
      <w:r>
        <w:rPr>
          <w:rFonts w:ascii="Times New Roman" w:hAnsi="Times New Roman" w:cs="Times New Roman"/>
        </w:rPr>
        <w:t>то</w:t>
      </w:r>
      <w:r w:rsidRPr="00587A8C">
        <w:rPr>
          <w:rFonts w:ascii="Times New Roman" w:hAnsi="Times New Roman" w:cs="Times New Roman"/>
        </w:rPr>
        <w:t xml:space="preserve"> на подходящи условия за цифрово трансформиране на бизнеса и предоставянето на </w:t>
      </w:r>
      <w:r>
        <w:rPr>
          <w:rFonts w:ascii="Times New Roman" w:hAnsi="Times New Roman" w:cs="Times New Roman"/>
        </w:rPr>
        <w:t xml:space="preserve">адекватна </w:t>
      </w:r>
      <w:r w:rsidRPr="00587A8C">
        <w:rPr>
          <w:rFonts w:ascii="Times New Roman" w:hAnsi="Times New Roman" w:cs="Times New Roman"/>
        </w:rPr>
        <w:t>подкрепа в този процес ще създаде възможност за завоюване на по-високи пазарни дялове в съществуващи и възникващи продуктови ниши</w:t>
      </w:r>
      <w:r>
        <w:rPr>
          <w:rFonts w:ascii="Times New Roman" w:hAnsi="Times New Roman" w:cs="Times New Roman"/>
        </w:rPr>
        <w:t>.</w:t>
      </w:r>
    </w:p>
    <w:p w:rsidR="001A2C66" w:rsidRDefault="005160D6" w:rsidP="001A2C6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Освен цифрова свързаност, стратегията на политиката по този под-приоритет предвижда и мерки в посока подобряване на транспортната свързаност и достъпност. Съществуването на адекватна транспортна (пътна, железопътна, водна) инфраструктура е ключов елемент от бизнес средата и през следващия програмен период ще продължат усилията за нейното подобряване. </w:t>
      </w:r>
      <w:r w:rsidR="001A2C66">
        <w:rPr>
          <w:rFonts w:ascii="Times New Roman" w:hAnsi="Times New Roman" w:cs="Times New Roman"/>
        </w:rPr>
        <w:t xml:space="preserve">Акцент на политиката ще продължи да бъде </w:t>
      </w:r>
      <w:r w:rsidR="001A2C66" w:rsidRPr="001A2C66">
        <w:rPr>
          <w:rFonts w:ascii="Times New Roman" w:hAnsi="Times New Roman" w:cs="Times New Roman"/>
        </w:rPr>
        <w:t>насърчаване</w:t>
      </w:r>
      <w:r w:rsidR="001A2C66">
        <w:rPr>
          <w:rFonts w:ascii="Times New Roman" w:hAnsi="Times New Roman" w:cs="Times New Roman"/>
        </w:rPr>
        <w:t>то</w:t>
      </w:r>
      <w:r w:rsidR="001A2C66" w:rsidRPr="001A2C66">
        <w:rPr>
          <w:rFonts w:ascii="Times New Roman" w:hAnsi="Times New Roman" w:cs="Times New Roman"/>
        </w:rPr>
        <w:t xml:space="preserve"> на </w:t>
      </w:r>
      <w:proofErr w:type="spellStart"/>
      <w:r w:rsidR="001A2C66" w:rsidRPr="001A2C66">
        <w:rPr>
          <w:rFonts w:ascii="Times New Roman" w:hAnsi="Times New Roman" w:cs="Times New Roman"/>
        </w:rPr>
        <w:t>мултимодалния</w:t>
      </w:r>
      <w:proofErr w:type="spellEnd"/>
      <w:r w:rsidR="001A2C66" w:rsidRPr="001A2C66">
        <w:rPr>
          <w:rFonts w:ascii="Times New Roman" w:hAnsi="Times New Roman" w:cs="Times New Roman"/>
        </w:rPr>
        <w:t xml:space="preserve"> транспорт посредством подобряване на връзките между отделните видове транспорт.</w:t>
      </w:r>
      <w:r w:rsidR="001A2C66">
        <w:rPr>
          <w:rFonts w:ascii="Times New Roman" w:hAnsi="Times New Roman" w:cs="Times New Roman"/>
        </w:rPr>
        <w:t xml:space="preserve"> </w:t>
      </w:r>
      <w:r>
        <w:rPr>
          <w:rFonts w:ascii="Times New Roman" w:hAnsi="Times New Roman" w:cs="Times New Roman"/>
        </w:rPr>
        <w:t xml:space="preserve">Модернизацията на някои отсечки по направленията на </w:t>
      </w:r>
      <w:r>
        <w:rPr>
          <w:rFonts w:ascii="Times New Roman" w:hAnsi="Times New Roman" w:cs="Times New Roman"/>
          <w:lang w:val="en-US"/>
        </w:rPr>
        <w:t>TEN-T</w:t>
      </w:r>
      <w:r>
        <w:rPr>
          <w:rFonts w:ascii="Times New Roman" w:hAnsi="Times New Roman" w:cs="Times New Roman"/>
        </w:rPr>
        <w:t xml:space="preserve"> мрежата ще адресира все още съществуващите „</w:t>
      </w:r>
      <w:r w:rsidRPr="004E5BC6">
        <w:rPr>
          <w:rFonts w:ascii="Times New Roman" w:hAnsi="Times New Roman" w:cs="Times New Roman"/>
          <w:i/>
        </w:rPr>
        <w:t>тесни места</w:t>
      </w:r>
      <w:r>
        <w:rPr>
          <w:rFonts w:ascii="Times New Roman" w:hAnsi="Times New Roman" w:cs="Times New Roman"/>
        </w:rPr>
        <w:t xml:space="preserve">“ по отношение на </w:t>
      </w:r>
      <w:r w:rsidRPr="004E5BC6">
        <w:rPr>
          <w:rFonts w:ascii="Times New Roman" w:hAnsi="Times New Roman" w:cs="Times New Roman"/>
        </w:rPr>
        <w:t xml:space="preserve">свързаност между регионите, както и със съседните страни, което ще подобри достъпността на услугите и </w:t>
      </w:r>
      <w:r>
        <w:rPr>
          <w:rFonts w:ascii="Times New Roman" w:hAnsi="Times New Roman" w:cs="Times New Roman"/>
        </w:rPr>
        <w:t xml:space="preserve">ще благоприятства </w:t>
      </w:r>
      <w:r w:rsidRPr="004E5BC6">
        <w:rPr>
          <w:rFonts w:ascii="Times New Roman" w:hAnsi="Times New Roman" w:cs="Times New Roman"/>
        </w:rPr>
        <w:t>развитие</w:t>
      </w:r>
      <w:r>
        <w:rPr>
          <w:rFonts w:ascii="Times New Roman" w:hAnsi="Times New Roman" w:cs="Times New Roman"/>
        </w:rPr>
        <w:t>то</w:t>
      </w:r>
      <w:r w:rsidRPr="004E5BC6">
        <w:rPr>
          <w:rFonts w:ascii="Times New Roman" w:hAnsi="Times New Roman" w:cs="Times New Roman"/>
        </w:rPr>
        <w:t xml:space="preserve"> на търговията и туризма</w:t>
      </w:r>
      <w:r>
        <w:rPr>
          <w:rFonts w:ascii="Times New Roman" w:hAnsi="Times New Roman" w:cs="Times New Roman"/>
        </w:rPr>
        <w:t xml:space="preserve">. Същевременно, повишаването на качеството на инфраструктурата и </w:t>
      </w:r>
      <w:r w:rsidRPr="009C0A10">
        <w:rPr>
          <w:rFonts w:ascii="Times New Roman" w:hAnsi="Times New Roman" w:cs="Times New Roman"/>
        </w:rPr>
        <w:t xml:space="preserve">внедряването на интелигентни транспортни системи </w:t>
      </w:r>
      <w:r>
        <w:rPr>
          <w:rFonts w:ascii="Times New Roman" w:hAnsi="Times New Roman" w:cs="Times New Roman"/>
        </w:rPr>
        <w:t xml:space="preserve">ще позволи (а и допълнително ще бъдат предприети мерки за) намаляване на задръстванията, нивата на шум и вредното въздействие върху околната среда, при повишаване на безопасността. </w:t>
      </w:r>
    </w:p>
    <w:p w:rsidR="005160D6" w:rsidRPr="00E84404" w:rsidRDefault="005160D6" w:rsidP="005160D6">
      <w:pPr>
        <w:pStyle w:val="Heading3"/>
        <w:numPr>
          <w:ilvl w:val="2"/>
          <w:numId w:val="16"/>
        </w:numPr>
        <w:rPr>
          <w:color w:val="1F497D"/>
        </w:rPr>
      </w:pPr>
      <w:bookmarkStart w:id="57" w:name="_Toc531176083"/>
      <w:bookmarkStart w:id="58" w:name="_Toc791835"/>
      <w:r>
        <w:rPr>
          <w:color w:val="1F497D"/>
        </w:rPr>
        <w:t>Електронно управление</w:t>
      </w:r>
      <w:bookmarkEnd w:id="57"/>
      <w:bookmarkEnd w:id="58"/>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Ключови фактори за подобряване на бизнес средата са качеството и достъпността на административните услуги, както и като цяло административната тежест. В тази връзка, ще продължат усилията на правителството по разширяване на електронното управление, при увеличаване на електронните обществени услуги както за бизнеса, така и за гражданите. Паралелно с процесите на дигитализиране на административните услуги ще продължи реформата на административните процеси и въвеждането на комплексното административно обслужване, което ще позволи повишаване на ефективността от работата на администрацията, при намаляване на тежестта за бизнеса. Разширяването на електронното управление в сектори като здравеопазване, правосъдие и обществени поръчки ще позволи и намаляване на риска от корупция и злоупотреби, като допринесе за подобряване на инвестиционния климат в страната и повишаване на атрактивността й като инвестиционна дестинация.</w:t>
      </w:r>
    </w:p>
    <w:p w:rsidR="005160D6" w:rsidRPr="00EC3461" w:rsidRDefault="009F4530" w:rsidP="005160D6">
      <w:pPr>
        <w:pStyle w:val="Heading2"/>
        <w:numPr>
          <w:ilvl w:val="1"/>
          <w:numId w:val="16"/>
        </w:numPr>
        <w:rPr>
          <w:color w:val="1F497D"/>
        </w:rPr>
      </w:pPr>
      <w:bookmarkStart w:id="59" w:name="_Toc531176084"/>
      <w:bookmarkStart w:id="60" w:name="_Toc791836"/>
      <w:r>
        <w:rPr>
          <w:color w:val="1F497D"/>
        </w:rPr>
        <w:t>Оползотворяване</w:t>
      </w:r>
      <w:r w:rsidR="005160D6" w:rsidRPr="00EC3461">
        <w:rPr>
          <w:color w:val="1F497D"/>
        </w:rPr>
        <w:t xml:space="preserve"> на местния потенциал</w:t>
      </w:r>
      <w:bookmarkEnd w:id="59"/>
      <w:bookmarkEnd w:id="60"/>
    </w:p>
    <w:p w:rsidR="005160D6" w:rsidRPr="005D2E5C" w:rsidRDefault="005160D6" w:rsidP="005160D6">
      <w:pPr>
        <w:pStyle w:val="ListParagraph"/>
        <w:spacing w:line="269" w:lineRule="auto"/>
        <w:ind w:left="0" w:firstLine="0"/>
        <w:contextualSpacing w:val="0"/>
        <w:jc w:val="both"/>
        <w:rPr>
          <w:rFonts w:ascii="Times New Roman" w:hAnsi="Times New Roman" w:cs="Times New Roman"/>
        </w:rPr>
      </w:pPr>
      <w:r w:rsidRPr="00197DD9">
        <w:rPr>
          <w:rFonts w:ascii="Times New Roman" w:hAnsi="Times New Roman" w:cs="Times New Roman"/>
        </w:rPr>
        <w:t>Този приоритет има изключително териториална насоченост, като се следва т.нар. „</w:t>
      </w:r>
      <w:r w:rsidRPr="00197DD9">
        <w:rPr>
          <w:rFonts w:ascii="Times New Roman" w:hAnsi="Times New Roman" w:cs="Times New Roman"/>
          <w:i/>
          <w:lang w:val="en-GB"/>
        </w:rPr>
        <w:t>place-based approach</w:t>
      </w:r>
      <w:r w:rsidRPr="00197DD9">
        <w:rPr>
          <w:rFonts w:ascii="Times New Roman" w:hAnsi="Times New Roman" w:cs="Times New Roman"/>
        </w:rPr>
        <w:t>“, в основата на който стои териториалната единица</w:t>
      </w:r>
      <w:r>
        <w:rPr>
          <w:rFonts w:ascii="Times New Roman" w:hAnsi="Times New Roman" w:cs="Times New Roman"/>
        </w:rPr>
        <w:t xml:space="preserve"> (локацията, мястото, районът) със своите специфични дадености и потребности. </w:t>
      </w:r>
      <w:r w:rsidRPr="008E6C7A">
        <w:rPr>
          <w:rFonts w:ascii="Times New Roman" w:hAnsi="Times New Roman" w:cs="Times New Roman"/>
        </w:rPr>
        <w:t>Основната цел на приоритета е възползването от и капитализирането на местните дадености и възможности при адресирането на специфичните местни нужди.</w:t>
      </w:r>
      <w:r>
        <w:rPr>
          <w:rFonts w:ascii="Times New Roman" w:hAnsi="Times New Roman" w:cs="Times New Roman"/>
        </w:rPr>
        <w:t xml:space="preserve"> Подходът се ползва от предимството на априорно по-висока ефективност на политиката, предвид адресирането на конкретни, установени на местно ниво – при по-високо ниво на информираност</w:t>
      </w:r>
      <w:r>
        <w:rPr>
          <w:rFonts w:ascii="Times New Roman" w:hAnsi="Times New Roman" w:cs="Times New Roman"/>
          <w:lang w:val="en-US"/>
        </w:rPr>
        <w:t xml:space="preserve"> –</w:t>
      </w:r>
      <w:r>
        <w:rPr>
          <w:rFonts w:ascii="Times New Roman" w:hAnsi="Times New Roman" w:cs="Times New Roman"/>
        </w:rPr>
        <w:t xml:space="preserve"> проблеми</w:t>
      </w:r>
      <w:r>
        <w:rPr>
          <w:rFonts w:ascii="Times New Roman" w:hAnsi="Times New Roman" w:cs="Times New Roman"/>
          <w:lang w:val="en-US"/>
        </w:rPr>
        <w:t xml:space="preserve"> </w:t>
      </w:r>
      <w:r>
        <w:rPr>
          <w:rFonts w:ascii="Times New Roman" w:hAnsi="Times New Roman" w:cs="Times New Roman"/>
        </w:rPr>
        <w:t xml:space="preserve">и потенциали. </w:t>
      </w:r>
      <w:r w:rsidRPr="004A4CF1">
        <w:rPr>
          <w:rFonts w:ascii="Times New Roman" w:hAnsi="Times New Roman" w:cs="Times New Roman"/>
        </w:rPr>
        <w:t xml:space="preserve">Мерките и дейностите, които ще се изпълняват в рамките на приоритета, са в пряка връзка с постигането на </w:t>
      </w:r>
      <w:r>
        <w:rPr>
          <w:rFonts w:ascii="Times New Roman" w:hAnsi="Times New Roman" w:cs="Times New Roman"/>
        </w:rPr>
        <w:t>две</w:t>
      </w:r>
      <w:r w:rsidRPr="004A4CF1">
        <w:rPr>
          <w:rFonts w:ascii="Times New Roman" w:hAnsi="Times New Roman" w:cs="Times New Roman"/>
        </w:rPr>
        <w:t xml:space="preserve"> от основните цели на Политиката за сближаване през следващия програмен период – „</w:t>
      </w:r>
      <w:r w:rsidRPr="004A4CF1">
        <w:rPr>
          <w:rFonts w:ascii="Times New Roman" w:hAnsi="Times New Roman" w:cs="Times New Roman"/>
          <w:i/>
        </w:rPr>
        <w:t>Цел на политиката 5: Една Европа по-близка до гражданите чрез насърчаване на устойчиво и интегрирано развитие на градските, селските и крайбрежните райони и местните инициативи</w:t>
      </w:r>
      <w:r w:rsidRPr="004A4CF1">
        <w:rPr>
          <w:rFonts w:ascii="Times New Roman" w:hAnsi="Times New Roman" w:cs="Times New Roman"/>
        </w:rPr>
        <w:t>“</w:t>
      </w:r>
      <w:r w:rsidRPr="00486C5D">
        <w:t xml:space="preserve"> </w:t>
      </w:r>
      <w:r w:rsidRPr="00486C5D">
        <w:rPr>
          <w:rFonts w:ascii="Times New Roman" w:hAnsi="Times New Roman" w:cs="Times New Roman"/>
        </w:rPr>
        <w:t>и „</w:t>
      </w:r>
      <w:r w:rsidRPr="00486C5D">
        <w:rPr>
          <w:rFonts w:ascii="Times New Roman" w:hAnsi="Times New Roman" w:cs="Times New Roman"/>
          <w:i/>
        </w:rPr>
        <w:t xml:space="preserve">Цел на политиката </w:t>
      </w:r>
      <w:r>
        <w:rPr>
          <w:rFonts w:ascii="Times New Roman" w:hAnsi="Times New Roman" w:cs="Times New Roman"/>
          <w:i/>
        </w:rPr>
        <w:t>2</w:t>
      </w:r>
      <w:r w:rsidRPr="00486C5D">
        <w:rPr>
          <w:rFonts w:ascii="Times New Roman" w:hAnsi="Times New Roman" w:cs="Times New Roman"/>
          <w:i/>
        </w:rPr>
        <w:t>: По-</w:t>
      </w:r>
      <w:r>
        <w:rPr>
          <w:rFonts w:ascii="Times New Roman" w:hAnsi="Times New Roman" w:cs="Times New Roman"/>
          <w:i/>
        </w:rPr>
        <w:t xml:space="preserve">зелена, </w:t>
      </w:r>
      <w:proofErr w:type="spellStart"/>
      <w:r>
        <w:rPr>
          <w:rFonts w:ascii="Times New Roman" w:hAnsi="Times New Roman" w:cs="Times New Roman"/>
          <w:i/>
        </w:rPr>
        <w:t>нисковъглеродна</w:t>
      </w:r>
      <w:proofErr w:type="spellEnd"/>
      <w:r w:rsidRPr="00486C5D">
        <w:rPr>
          <w:rFonts w:ascii="Times New Roman" w:hAnsi="Times New Roman" w:cs="Times New Roman"/>
          <w:i/>
        </w:rPr>
        <w:t xml:space="preserve"> Европа чрез </w:t>
      </w:r>
      <w:r>
        <w:rPr>
          <w:rFonts w:ascii="Times New Roman" w:hAnsi="Times New Roman" w:cs="Times New Roman"/>
          <w:i/>
        </w:rPr>
        <w:lastRenderedPageBreak/>
        <w:t xml:space="preserve">насърчаване на чист и справедлив енергиен преход, зелени и сини инвестиции, кръгова икономика, приспособяване към изменението на климата и превенция и управление на риска </w:t>
      </w:r>
      <w:r w:rsidRPr="00486C5D">
        <w:rPr>
          <w:rFonts w:ascii="Times New Roman" w:hAnsi="Times New Roman" w:cs="Times New Roman"/>
        </w:rPr>
        <w:t>“</w:t>
      </w:r>
      <w:r w:rsidRPr="004A4CF1">
        <w:rPr>
          <w:rFonts w:ascii="Times New Roman" w:hAnsi="Times New Roman" w:cs="Times New Roman"/>
        </w:rPr>
        <w:t>.</w:t>
      </w:r>
      <w:r w:rsidRPr="004A4CF1">
        <w:t xml:space="preserve"> </w:t>
      </w:r>
      <w:r w:rsidRPr="00516571">
        <w:rPr>
          <w:rFonts w:ascii="Times New Roman" w:hAnsi="Times New Roman" w:cs="Times New Roman"/>
        </w:rPr>
        <w:t>Същевременно, успехът в постигането на целите на приоритета ще е от ключово значение и за постигането на друга от целите на Кохезионната политика в периода 2021-2027 г. – „</w:t>
      </w:r>
      <w:r w:rsidRPr="00516571">
        <w:rPr>
          <w:rFonts w:ascii="Times New Roman" w:hAnsi="Times New Roman" w:cs="Times New Roman"/>
          <w:i/>
        </w:rPr>
        <w:t xml:space="preserve">Цел на политиката </w:t>
      </w:r>
      <w:r w:rsidRPr="00C26F2E">
        <w:rPr>
          <w:rFonts w:ascii="Times New Roman" w:hAnsi="Times New Roman" w:cs="Times New Roman"/>
          <w:i/>
        </w:rPr>
        <w:t>4: По-социална Европа чрез изпълнение на европейския стълб на социалните права</w:t>
      </w:r>
      <w:r w:rsidRPr="00516571">
        <w:rPr>
          <w:rFonts w:ascii="Times New Roman" w:hAnsi="Times New Roman" w:cs="Times New Roman"/>
        </w:rPr>
        <w:t xml:space="preserve">“, доколкото </w:t>
      </w:r>
      <w:r>
        <w:rPr>
          <w:rFonts w:ascii="Times New Roman" w:hAnsi="Times New Roman" w:cs="Times New Roman"/>
        </w:rPr>
        <w:t>в рамките на отделен под-приоритет са предвидени интервенции за изграждане на социална инфраструктура</w:t>
      </w:r>
      <w:r w:rsidRPr="00516571">
        <w:rPr>
          <w:rFonts w:ascii="Times New Roman" w:hAnsi="Times New Roman" w:cs="Times New Roman"/>
        </w:rPr>
        <w:t>.</w:t>
      </w:r>
    </w:p>
    <w:p w:rsidR="005160D6" w:rsidRPr="00E84404" w:rsidRDefault="005160D6" w:rsidP="005160D6">
      <w:pPr>
        <w:pStyle w:val="Heading3"/>
        <w:numPr>
          <w:ilvl w:val="2"/>
          <w:numId w:val="16"/>
        </w:numPr>
        <w:rPr>
          <w:color w:val="1F497D"/>
        </w:rPr>
      </w:pPr>
      <w:bookmarkStart w:id="61" w:name="_Toc531176085"/>
      <w:bookmarkStart w:id="62" w:name="_Toc791837"/>
      <w:r>
        <w:rPr>
          <w:color w:val="1F497D"/>
        </w:rPr>
        <w:t>Туризъм</w:t>
      </w:r>
      <w:bookmarkEnd w:id="61"/>
      <w:bookmarkEnd w:id="62"/>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Политиката ще бъде фокусирана върху опазване, развитие и популяризиране на публичните туристически активи и свързаните с тях туристически услуги, като ще се акцентира на </w:t>
      </w:r>
      <w:r w:rsidRPr="00B30976">
        <w:rPr>
          <w:rFonts w:ascii="Times New Roman" w:hAnsi="Times New Roman" w:cs="Times New Roman"/>
        </w:rPr>
        <w:t xml:space="preserve">специализираните и </w:t>
      </w:r>
      <w:proofErr w:type="spellStart"/>
      <w:r w:rsidRPr="00B30976">
        <w:rPr>
          <w:rFonts w:ascii="Times New Roman" w:hAnsi="Times New Roman" w:cs="Times New Roman"/>
        </w:rPr>
        <w:t>нишови</w:t>
      </w:r>
      <w:proofErr w:type="spellEnd"/>
      <w:r w:rsidRPr="00B30976">
        <w:rPr>
          <w:rFonts w:ascii="Times New Roman" w:hAnsi="Times New Roman" w:cs="Times New Roman"/>
        </w:rPr>
        <w:t xml:space="preserve"> продукти, в които </w:t>
      </w:r>
      <w:r>
        <w:rPr>
          <w:rFonts w:ascii="Times New Roman" w:hAnsi="Times New Roman" w:cs="Times New Roman"/>
        </w:rPr>
        <w:t>конкретната локация</w:t>
      </w:r>
      <w:r w:rsidRPr="00B30976">
        <w:rPr>
          <w:rFonts w:ascii="Times New Roman" w:hAnsi="Times New Roman" w:cs="Times New Roman"/>
        </w:rPr>
        <w:t xml:space="preserve"> има потенциал</w:t>
      </w:r>
      <w:r>
        <w:rPr>
          <w:rFonts w:ascii="Times New Roman" w:hAnsi="Times New Roman" w:cs="Times New Roman"/>
        </w:rPr>
        <w:t xml:space="preserve">, при следване на стратегическия подход за специализация на </w:t>
      </w:r>
      <w:r w:rsidRPr="00B30976">
        <w:rPr>
          <w:rFonts w:ascii="Times New Roman" w:hAnsi="Times New Roman" w:cs="Times New Roman"/>
        </w:rPr>
        <w:t>деветте туристически района в страната</w:t>
      </w:r>
      <w:r>
        <w:rPr>
          <w:rFonts w:ascii="Times New Roman" w:hAnsi="Times New Roman" w:cs="Times New Roman"/>
        </w:rPr>
        <w:t xml:space="preserve">, съгласно </w:t>
      </w:r>
      <w:r w:rsidRPr="00B30976">
        <w:rPr>
          <w:rFonts w:ascii="Times New Roman" w:hAnsi="Times New Roman" w:cs="Times New Roman"/>
        </w:rPr>
        <w:t>Национална</w:t>
      </w:r>
      <w:r>
        <w:rPr>
          <w:rFonts w:ascii="Times New Roman" w:hAnsi="Times New Roman" w:cs="Times New Roman"/>
        </w:rPr>
        <w:t>та</w:t>
      </w:r>
      <w:r w:rsidRPr="00B30976">
        <w:rPr>
          <w:rFonts w:ascii="Times New Roman" w:hAnsi="Times New Roman" w:cs="Times New Roman"/>
        </w:rPr>
        <w:t xml:space="preserve"> стратегия за устойчиво развитие на туризма в Република България 2014-2030 г.</w:t>
      </w:r>
      <w:r>
        <w:rPr>
          <w:rFonts w:ascii="Times New Roman" w:hAnsi="Times New Roman" w:cs="Times New Roman"/>
        </w:rPr>
        <w:t xml:space="preserve"> При осъществяване на интервенциите, свързани с </w:t>
      </w:r>
      <w:r w:rsidRPr="007C01A2">
        <w:rPr>
          <w:rFonts w:ascii="Times New Roman" w:hAnsi="Times New Roman" w:cs="Times New Roman"/>
        </w:rPr>
        <w:t>опазване, развитие и популяризиране на</w:t>
      </w:r>
      <w:r>
        <w:rPr>
          <w:rFonts w:ascii="Times New Roman" w:hAnsi="Times New Roman" w:cs="Times New Roman"/>
        </w:rPr>
        <w:t xml:space="preserve"> културно-историческото наследство, ще бъде следван стратегически подход, като подкрепата ще бъде съсредоточена върху предварително определени туристически ресурси от национално и световно значение, имащи най-голям потенциал </w:t>
      </w:r>
      <w:r w:rsidRPr="007C01A2">
        <w:rPr>
          <w:rFonts w:ascii="Times New Roman" w:hAnsi="Times New Roman" w:cs="Times New Roman"/>
        </w:rPr>
        <w:t xml:space="preserve">за привличане на туристи и съответно </w:t>
      </w:r>
      <w:r>
        <w:rPr>
          <w:rFonts w:ascii="Times New Roman" w:hAnsi="Times New Roman" w:cs="Times New Roman"/>
        </w:rPr>
        <w:t xml:space="preserve">за </w:t>
      </w:r>
      <w:r w:rsidRPr="007C01A2">
        <w:rPr>
          <w:rFonts w:ascii="Times New Roman" w:hAnsi="Times New Roman" w:cs="Times New Roman"/>
        </w:rPr>
        <w:t>генериране на растеж и алтернативна заетост в регионите</w:t>
      </w:r>
      <w:r>
        <w:rPr>
          <w:rFonts w:ascii="Times New Roman" w:hAnsi="Times New Roman" w:cs="Times New Roman"/>
        </w:rPr>
        <w:t>. С оглед ограничените налични финансови ресурси, както и за повишаване на ефективността на планираните мерки, подкрепата със средства от ЕС ще бъде допълвана с използване на финансови инструменти.</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Ще продължат мерките, насочени към съхраняване и развитие на природното наследство и богатото биоразнообразие на страната и регионите й, а валоризирането на икономическия им потенциал ще бъде осъществявано по максимално щадящ околната среда начин – чрез развитието на туристически продукти като екотуризъм. Чрез продължаващи интервенции, </w:t>
      </w:r>
      <w:r w:rsidRPr="00752DED">
        <w:rPr>
          <w:rFonts w:ascii="Times New Roman" w:hAnsi="Times New Roman" w:cs="Times New Roman"/>
        </w:rPr>
        <w:t>планирани в Националната приоритетна рамка за действие за НАТУРА 2000</w:t>
      </w:r>
      <w:r>
        <w:rPr>
          <w:rFonts w:ascii="Times New Roman" w:hAnsi="Times New Roman" w:cs="Times New Roman"/>
        </w:rPr>
        <w:t xml:space="preserve"> и целящи </w:t>
      </w:r>
      <w:r w:rsidRPr="00752DED">
        <w:rPr>
          <w:rFonts w:ascii="Times New Roman" w:hAnsi="Times New Roman" w:cs="Times New Roman"/>
        </w:rPr>
        <w:t xml:space="preserve">подобряване на природозащитно състояние на видове и местообитания, ще </w:t>
      </w:r>
      <w:r>
        <w:rPr>
          <w:rFonts w:ascii="Times New Roman" w:hAnsi="Times New Roman" w:cs="Times New Roman"/>
        </w:rPr>
        <w:t>се адресират „</w:t>
      </w:r>
      <w:r w:rsidRPr="001E2B7D">
        <w:rPr>
          <w:rFonts w:ascii="Times New Roman" w:hAnsi="Times New Roman" w:cs="Times New Roman"/>
          <w:i/>
        </w:rPr>
        <w:t>тесните места</w:t>
      </w:r>
      <w:r>
        <w:rPr>
          <w:rFonts w:ascii="Times New Roman" w:hAnsi="Times New Roman" w:cs="Times New Roman"/>
        </w:rPr>
        <w:t>“ в</w:t>
      </w:r>
      <w:r w:rsidRPr="00752DED">
        <w:rPr>
          <w:rFonts w:ascii="Times New Roman" w:hAnsi="Times New Roman" w:cs="Times New Roman"/>
        </w:rPr>
        <w:t xml:space="preserve"> екосистемите в мрежата Натура 2000.</w:t>
      </w:r>
    </w:p>
    <w:p w:rsidR="005160D6" w:rsidRPr="001F7103"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Паралелно с осъществяваните интервенции, напредъкът в изпълнението на другите приоритети, например повишаването на свързаността и достъпността на регионите, подобряването на качествата на техническата инфраструктура и т.н.,  ще способства изпълнението на целите на приоритета. Специални усилия ще бъдат положени и за повишаване на сигурността на обществените пространства, както и за намаляване на замърсяването на природата, адресирайки някои от основните проблеми, намаляващи атрактивността на страната като туристическа дестинация.</w:t>
      </w:r>
    </w:p>
    <w:p w:rsidR="005160D6" w:rsidRPr="00E84404" w:rsidRDefault="005160D6" w:rsidP="005160D6">
      <w:pPr>
        <w:pStyle w:val="Heading3"/>
        <w:numPr>
          <w:ilvl w:val="2"/>
          <w:numId w:val="16"/>
        </w:numPr>
        <w:rPr>
          <w:color w:val="1F497D"/>
        </w:rPr>
      </w:pPr>
      <w:bookmarkStart w:id="63" w:name="_Toc531176087"/>
      <w:bookmarkStart w:id="64" w:name="_Toc791838"/>
      <w:r>
        <w:rPr>
          <w:color w:val="1F497D"/>
        </w:rPr>
        <w:t>Екологична инфраструктура</w:t>
      </w:r>
      <w:bookmarkEnd w:id="63"/>
      <w:bookmarkEnd w:id="64"/>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Специфичен фокус на политиката ще остане изграждането и/или рехабилитацията на техническа инфраструктура в локациите, които все още не успяват да предложат на населението качествени условия за живот. Ще бъдат концентрирани усилия за </w:t>
      </w:r>
      <w:r w:rsidRPr="00B46EB7">
        <w:rPr>
          <w:rFonts w:ascii="Times New Roman" w:hAnsi="Times New Roman" w:cs="Times New Roman"/>
        </w:rPr>
        <w:t xml:space="preserve">повишаване на ефективността на ползване на водите </w:t>
      </w:r>
      <w:r>
        <w:rPr>
          <w:rFonts w:ascii="Times New Roman" w:hAnsi="Times New Roman" w:cs="Times New Roman"/>
        </w:rPr>
        <w:t xml:space="preserve">чрез </w:t>
      </w:r>
      <w:r w:rsidRPr="00B46EB7">
        <w:rPr>
          <w:rFonts w:ascii="Times New Roman" w:hAnsi="Times New Roman" w:cs="Times New Roman"/>
        </w:rPr>
        <w:t xml:space="preserve">реконструкция и модернизация на </w:t>
      </w:r>
      <w:r>
        <w:rPr>
          <w:rFonts w:ascii="Times New Roman" w:hAnsi="Times New Roman" w:cs="Times New Roman"/>
        </w:rPr>
        <w:t xml:space="preserve">амортизираната водопроводна мрежа. Приоритетни ще останат </w:t>
      </w:r>
      <w:r w:rsidRPr="00B46EB7">
        <w:rPr>
          <w:rFonts w:ascii="Times New Roman" w:hAnsi="Times New Roman" w:cs="Times New Roman"/>
        </w:rPr>
        <w:t>дейности</w:t>
      </w:r>
      <w:r>
        <w:rPr>
          <w:rFonts w:ascii="Times New Roman" w:hAnsi="Times New Roman" w:cs="Times New Roman"/>
        </w:rPr>
        <w:t>те</w:t>
      </w:r>
      <w:r w:rsidRPr="00B46EB7">
        <w:rPr>
          <w:rFonts w:ascii="Times New Roman" w:hAnsi="Times New Roman" w:cs="Times New Roman"/>
        </w:rPr>
        <w:t xml:space="preserve"> по управление на отпадъчните води</w:t>
      </w:r>
      <w:r>
        <w:rPr>
          <w:rFonts w:ascii="Times New Roman" w:hAnsi="Times New Roman" w:cs="Times New Roman"/>
        </w:rPr>
        <w:t xml:space="preserve"> и повишаването на </w:t>
      </w:r>
      <w:r w:rsidRPr="000D7B97">
        <w:rPr>
          <w:rFonts w:ascii="Times New Roman" w:hAnsi="Times New Roman" w:cs="Times New Roman"/>
        </w:rPr>
        <w:t>свързаността на населението с пречиствателни станции за отпадъчни води</w:t>
      </w:r>
      <w:r>
        <w:rPr>
          <w:rFonts w:ascii="Times New Roman" w:hAnsi="Times New Roman" w:cs="Times New Roman"/>
        </w:rPr>
        <w:t xml:space="preserve">, при подобряване на </w:t>
      </w:r>
      <w:r w:rsidRPr="000D7B97">
        <w:rPr>
          <w:rFonts w:ascii="Times New Roman" w:hAnsi="Times New Roman" w:cs="Times New Roman"/>
        </w:rPr>
        <w:t>технологиите на пречистване</w:t>
      </w:r>
      <w:r>
        <w:rPr>
          <w:rFonts w:ascii="Times New Roman" w:hAnsi="Times New Roman" w:cs="Times New Roman"/>
        </w:rPr>
        <w:t xml:space="preserve">. Ще продължат интервенциите, ориентирани към </w:t>
      </w:r>
      <w:r w:rsidRPr="00507E72">
        <w:rPr>
          <w:rFonts w:ascii="Times New Roman" w:hAnsi="Times New Roman" w:cs="Times New Roman"/>
        </w:rPr>
        <w:t xml:space="preserve">управление на отпадъците, </w:t>
      </w:r>
      <w:r>
        <w:rPr>
          <w:rFonts w:ascii="Times New Roman" w:hAnsi="Times New Roman" w:cs="Times New Roman"/>
        </w:rPr>
        <w:t xml:space="preserve">при стремеж за интензифициране на процесите на трансформация от линейна  към кръгова икономика и намаляване на дела на депонираните отпадъци, за сметка на рециклираните. Адресирайки задълбочаващия се проблем със замърсяването на въздуха в големите градове, приоритетни ще останат и усилията в посока устойчив градски транспорт, като планираните мерки включват разширяване на мрежата на </w:t>
      </w:r>
      <w:r w:rsidRPr="00030E80">
        <w:rPr>
          <w:rFonts w:ascii="Times New Roman" w:hAnsi="Times New Roman" w:cs="Times New Roman"/>
        </w:rPr>
        <w:t>метрото в столицата и обновяването на парка с превозни средства на компаниите за градски транспорт в някои от големите градове</w:t>
      </w:r>
      <w:r>
        <w:rPr>
          <w:rFonts w:ascii="Times New Roman" w:hAnsi="Times New Roman" w:cs="Times New Roman"/>
        </w:rPr>
        <w:t>.</w:t>
      </w:r>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lastRenderedPageBreak/>
        <w:t xml:space="preserve">Акцент на политиката ще остане и управлението </w:t>
      </w:r>
      <w:r w:rsidRPr="00287F7F">
        <w:rPr>
          <w:rFonts w:ascii="Times New Roman" w:hAnsi="Times New Roman" w:cs="Times New Roman"/>
        </w:rPr>
        <w:t>на риска от бедствия</w:t>
      </w:r>
      <w:r>
        <w:rPr>
          <w:rFonts w:ascii="Times New Roman" w:hAnsi="Times New Roman" w:cs="Times New Roman"/>
        </w:rPr>
        <w:t xml:space="preserve">, като продължи изпълнението на мерки, ориентирани към </w:t>
      </w:r>
      <w:r w:rsidRPr="00287F7F">
        <w:rPr>
          <w:rFonts w:ascii="Times New Roman" w:hAnsi="Times New Roman" w:cs="Times New Roman"/>
        </w:rPr>
        <w:t>превенция</w:t>
      </w:r>
      <w:r>
        <w:rPr>
          <w:rFonts w:ascii="Times New Roman" w:hAnsi="Times New Roman" w:cs="Times New Roman"/>
        </w:rPr>
        <w:t xml:space="preserve"> и </w:t>
      </w:r>
      <w:r w:rsidRPr="00287F7F">
        <w:rPr>
          <w:rFonts w:ascii="Times New Roman" w:hAnsi="Times New Roman" w:cs="Times New Roman"/>
        </w:rPr>
        <w:t>защита от наводнения и за намаляване на възможните нега</w:t>
      </w:r>
      <w:r>
        <w:rPr>
          <w:rFonts w:ascii="Times New Roman" w:hAnsi="Times New Roman" w:cs="Times New Roman"/>
        </w:rPr>
        <w:t xml:space="preserve">тивни последици от наводненията, </w:t>
      </w:r>
      <w:r w:rsidRPr="00452456">
        <w:rPr>
          <w:rFonts w:ascii="Times New Roman" w:hAnsi="Times New Roman" w:cs="Times New Roman"/>
        </w:rPr>
        <w:t>създаване и управление на защитни горски пояси срещу ерозия и пожари</w:t>
      </w:r>
      <w:r>
        <w:rPr>
          <w:rFonts w:ascii="Times New Roman" w:hAnsi="Times New Roman" w:cs="Times New Roman"/>
        </w:rPr>
        <w:t xml:space="preserve">, </w:t>
      </w:r>
      <w:r w:rsidRPr="00452456">
        <w:rPr>
          <w:rFonts w:ascii="Times New Roman" w:hAnsi="Times New Roman" w:cs="Times New Roman"/>
        </w:rPr>
        <w:t xml:space="preserve">инфраструктурни мерки, допринасящи за управление на рисковете от </w:t>
      </w:r>
      <w:proofErr w:type="spellStart"/>
      <w:r w:rsidRPr="00452456">
        <w:rPr>
          <w:rFonts w:ascii="Times New Roman" w:hAnsi="Times New Roman" w:cs="Times New Roman"/>
        </w:rPr>
        <w:t>свлачищни</w:t>
      </w:r>
      <w:proofErr w:type="spellEnd"/>
      <w:r w:rsidRPr="00452456">
        <w:rPr>
          <w:rFonts w:ascii="Times New Roman" w:hAnsi="Times New Roman" w:cs="Times New Roman"/>
        </w:rPr>
        <w:t xml:space="preserve">, ерозионни и </w:t>
      </w:r>
      <w:proofErr w:type="spellStart"/>
      <w:r w:rsidRPr="00452456">
        <w:rPr>
          <w:rFonts w:ascii="Times New Roman" w:hAnsi="Times New Roman" w:cs="Times New Roman"/>
        </w:rPr>
        <w:t>абразионни</w:t>
      </w:r>
      <w:proofErr w:type="spellEnd"/>
      <w:r w:rsidRPr="00452456">
        <w:rPr>
          <w:rFonts w:ascii="Times New Roman" w:hAnsi="Times New Roman" w:cs="Times New Roman"/>
        </w:rPr>
        <w:t xml:space="preserve"> процеси</w:t>
      </w:r>
      <w:r>
        <w:rPr>
          <w:rFonts w:ascii="Times New Roman" w:hAnsi="Times New Roman" w:cs="Times New Roman"/>
        </w:rPr>
        <w:t xml:space="preserve"> и др.</w:t>
      </w:r>
    </w:p>
    <w:p w:rsidR="005160D6" w:rsidRPr="00E84404" w:rsidRDefault="005160D6" w:rsidP="005160D6">
      <w:pPr>
        <w:pStyle w:val="Heading3"/>
        <w:numPr>
          <w:ilvl w:val="2"/>
          <w:numId w:val="16"/>
        </w:numPr>
        <w:rPr>
          <w:color w:val="1F497D"/>
        </w:rPr>
      </w:pPr>
      <w:bookmarkStart w:id="65" w:name="_Toc791839"/>
      <w:r>
        <w:rPr>
          <w:color w:val="1F497D"/>
        </w:rPr>
        <w:t>Социална инфраструктура</w:t>
      </w:r>
      <w:bookmarkEnd w:id="65"/>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 xml:space="preserve">В рамките на този под-приоритет предмет на целенасочени интервенции ще бъде осигуряването на равен достъп до специализирана медицинска (в т.ч. дългосрочна) грижа </w:t>
      </w:r>
      <w:r w:rsidRPr="007E5421">
        <w:rPr>
          <w:rFonts w:ascii="Times New Roman" w:hAnsi="Times New Roman" w:cs="Times New Roman"/>
        </w:rPr>
        <w:t>и качествена образователна услуга</w:t>
      </w:r>
      <w:r>
        <w:rPr>
          <w:rFonts w:ascii="Times New Roman" w:hAnsi="Times New Roman" w:cs="Times New Roman"/>
        </w:rPr>
        <w:t>. За подобряване на качеството на предоставяната медицинска услуга по места ще бъдат предприети мерки за подобряване на материално-техническата база на областните медицински центрове, както и за повишаване на осигуреността им със специализирано оборудване и медицински специалисти. Стъпвайки на Националната стратегия за дългосрочна грижа, ще продължат усилията за изграждане и/или рехабилитация на социална инфраструктура, насочена към възрастните и хората с увреждания, включително ц</w:t>
      </w:r>
      <w:r w:rsidRPr="00B4536F">
        <w:rPr>
          <w:rFonts w:ascii="Times New Roman" w:hAnsi="Times New Roman" w:cs="Times New Roman"/>
        </w:rPr>
        <w:t>ентрове за социална рехабилитация и интеграция</w:t>
      </w:r>
      <w:r>
        <w:rPr>
          <w:rFonts w:ascii="Times New Roman" w:hAnsi="Times New Roman" w:cs="Times New Roman"/>
        </w:rPr>
        <w:t>, д</w:t>
      </w:r>
      <w:r w:rsidRPr="001A37D4">
        <w:rPr>
          <w:rFonts w:ascii="Times New Roman" w:hAnsi="Times New Roman" w:cs="Times New Roman"/>
        </w:rPr>
        <w:t>невни центрове за</w:t>
      </w:r>
      <w:r w:rsidR="00350AE8">
        <w:rPr>
          <w:rFonts w:ascii="Times New Roman" w:hAnsi="Times New Roman" w:cs="Times New Roman"/>
        </w:rPr>
        <w:t xml:space="preserve"> </w:t>
      </w:r>
      <w:r w:rsidRPr="001A37D4">
        <w:rPr>
          <w:rFonts w:ascii="Times New Roman" w:hAnsi="Times New Roman" w:cs="Times New Roman"/>
        </w:rPr>
        <w:t>подкрепа на</w:t>
      </w:r>
      <w:r w:rsidR="00350AE8">
        <w:rPr>
          <w:rFonts w:ascii="Times New Roman" w:hAnsi="Times New Roman" w:cs="Times New Roman"/>
        </w:rPr>
        <w:t xml:space="preserve"> </w:t>
      </w:r>
      <w:r w:rsidRPr="001A37D4">
        <w:rPr>
          <w:rFonts w:ascii="Times New Roman" w:hAnsi="Times New Roman" w:cs="Times New Roman"/>
        </w:rPr>
        <w:t>лица с увреждания</w:t>
      </w:r>
      <w:r>
        <w:rPr>
          <w:rFonts w:ascii="Times New Roman" w:hAnsi="Times New Roman" w:cs="Times New Roman"/>
        </w:rPr>
        <w:t xml:space="preserve"> и др.</w:t>
      </w:r>
    </w:p>
    <w:p w:rsidR="00D20631" w:rsidRPr="00D20631" w:rsidRDefault="00D20631"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Допълнителен фокус на политиката ще представлява адресирането на проблема с лошите жилищни условия</w:t>
      </w:r>
      <w:r w:rsidR="00DD3CE5">
        <w:rPr>
          <w:rFonts w:ascii="Times New Roman" w:hAnsi="Times New Roman" w:cs="Times New Roman"/>
        </w:rPr>
        <w:t xml:space="preserve">, от които страда част от населението. Ще бъдат предприети стъпки за изграждане на общински жилища и настаняване в тях на най-нуждаещите се сред уязвимите групи. Същевременно ще бъдат търсени и алтернативни решения, като например използване на финансови инструменти и предоставяне на кредити при преференциални условия за целевите групи. </w:t>
      </w:r>
    </w:p>
    <w:p w:rsidR="005160D6" w:rsidRPr="00EC3461" w:rsidRDefault="005160D6" w:rsidP="005160D6">
      <w:pPr>
        <w:pStyle w:val="Heading2"/>
        <w:numPr>
          <w:ilvl w:val="1"/>
          <w:numId w:val="16"/>
        </w:numPr>
        <w:rPr>
          <w:color w:val="1F497D"/>
        </w:rPr>
      </w:pPr>
      <w:bookmarkStart w:id="66" w:name="_Toc531176088"/>
      <w:bookmarkStart w:id="67" w:name="_Toc791840"/>
      <w:r>
        <w:rPr>
          <w:color w:val="1F497D"/>
        </w:rPr>
        <w:t>Хоризонтални политики</w:t>
      </w:r>
      <w:bookmarkEnd w:id="66"/>
      <w:bookmarkEnd w:id="67"/>
    </w:p>
    <w:p w:rsidR="005160D6" w:rsidRDefault="005160D6" w:rsidP="005160D6">
      <w:pPr>
        <w:pStyle w:val="ListParagraph"/>
        <w:spacing w:line="269" w:lineRule="auto"/>
        <w:ind w:left="0" w:firstLine="0"/>
        <w:contextualSpacing w:val="0"/>
        <w:jc w:val="both"/>
        <w:rPr>
          <w:rFonts w:ascii="Times New Roman" w:hAnsi="Times New Roman" w:cs="Times New Roman"/>
        </w:rPr>
      </w:pPr>
      <w:r w:rsidRPr="00425D0F">
        <w:rPr>
          <w:rFonts w:ascii="Times New Roman" w:hAnsi="Times New Roman" w:cs="Times New Roman"/>
        </w:rPr>
        <w:t>В допълнение</w:t>
      </w:r>
      <w:r>
        <w:rPr>
          <w:rFonts w:ascii="Times New Roman" w:hAnsi="Times New Roman" w:cs="Times New Roman"/>
        </w:rPr>
        <w:t xml:space="preserve"> към трите секторни и един териториален приоритети</w:t>
      </w:r>
      <w:r w:rsidRPr="00425D0F">
        <w:rPr>
          <w:rFonts w:ascii="Times New Roman" w:hAnsi="Times New Roman" w:cs="Times New Roman"/>
        </w:rPr>
        <w:t xml:space="preserve">, политиката на правителството през периода 2021-2027 г. ще включва и целенасочени действия по </w:t>
      </w:r>
      <w:r>
        <w:rPr>
          <w:rFonts w:ascii="Times New Roman" w:hAnsi="Times New Roman" w:cs="Times New Roman"/>
        </w:rPr>
        <w:t>две</w:t>
      </w:r>
      <w:r w:rsidRPr="00425D0F">
        <w:rPr>
          <w:rFonts w:ascii="Times New Roman" w:hAnsi="Times New Roman" w:cs="Times New Roman"/>
        </w:rPr>
        <w:t xml:space="preserve"> хоризонтални политики</w:t>
      </w:r>
      <w:r>
        <w:rPr>
          <w:rFonts w:ascii="Times New Roman" w:hAnsi="Times New Roman" w:cs="Times New Roman"/>
        </w:rPr>
        <w:t>, ориентирани към борбата с климатичните промени и изостаналостта на някои части от територията на страната, като изпълнението им ще става посредством реализирането на дейности и мерки по приоритетите.</w:t>
      </w:r>
    </w:p>
    <w:p w:rsidR="005160D6" w:rsidRPr="00486C5D"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Адресирайки глобалната тенденция на и</w:t>
      </w:r>
      <w:r w:rsidRPr="0051442A">
        <w:rPr>
          <w:rFonts w:ascii="Times New Roman" w:hAnsi="Times New Roman" w:cs="Times New Roman"/>
        </w:rPr>
        <w:t>зменение</w:t>
      </w:r>
      <w:r>
        <w:rPr>
          <w:rFonts w:ascii="Times New Roman" w:hAnsi="Times New Roman" w:cs="Times New Roman"/>
        </w:rPr>
        <w:t xml:space="preserve"> на климата, България ще насочва ¼ от разполагаемия ресурс от европейските структурни и инвестиционни фондове, както и съпътстващия национален ресурс, за действия и мерки, насочени към </w:t>
      </w:r>
      <w:r w:rsidRPr="0051442A">
        <w:rPr>
          <w:rFonts w:ascii="Times New Roman" w:hAnsi="Times New Roman" w:cs="Times New Roman"/>
        </w:rPr>
        <w:t xml:space="preserve">смекчаване на и приспособяване към последиците от </w:t>
      </w:r>
      <w:r w:rsidRPr="001E2B7D">
        <w:rPr>
          <w:rFonts w:ascii="Times New Roman" w:hAnsi="Times New Roman" w:cs="Times New Roman"/>
        </w:rPr>
        <w:t xml:space="preserve">климатичните промени. Изпълнението на планираните мерки </w:t>
      </w:r>
      <w:r>
        <w:rPr>
          <w:rFonts w:ascii="Times New Roman" w:hAnsi="Times New Roman" w:cs="Times New Roman"/>
        </w:rPr>
        <w:t xml:space="preserve">ще способства </w:t>
      </w:r>
      <w:r w:rsidRPr="00486C5D">
        <w:rPr>
          <w:rFonts w:ascii="Times New Roman" w:hAnsi="Times New Roman" w:cs="Times New Roman"/>
        </w:rPr>
        <w:t xml:space="preserve">постигането на </w:t>
      </w:r>
      <w:r>
        <w:rPr>
          <w:rFonts w:ascii="Times New Roman" w:hAnsi="Times New Roman" w:cs="Times New Roman"/>
        </w:rPr>
        <w:t>една</w:t>
      </w:r>
      <w:r w:rsidRPr="00486C5D">
        <w:rPr>
          <w:rFonts w:ascii="Times New Roman" w:hAnsi="Times New Roman" w:cs="Times New Roman"/>
        </w:rPr>
        <w:t xml:space="preserve"> от основните цели на Политиката за сближаване през сле</w:t>
      </w:r>
      <w:r>
        <w:rPr>
          <w:rFonts w:ascii="Times New Roman" w:hAnsi="Times New Roman" w:cs="Times New Roman"/>
        </w:rPr>
        <w:t xml:space="preserve">дващия програмен период – </w:t>
      </w:r>
      <w:r w:rsidRPr="00486C5D">
        <w:rPr>
          <w:rFonts w:ascii="Times New Roman" w:hAnsi="Times New Roman" w:cs="Times New Roman"/>
        </w:rPr>
        <w:t>„</w:t>
      </w:r>
      <w:r w:rsidRPr="001E2B7D">
        <w:rPr>
          <w:rFonts w:ascii="Times New Roman" w:hAnsi="Times New Roman" w:cs="Times New Roman"/>
          <w:i/>
        </w:rPr>
        <w:t xml:space="preserve">Цел на политиката 2: По-зелена, </w:t>
      </w:r>
      <w:proofErr w:type="spellStart"/>
      <w:r w:rsidRPr="001E2B7D">
        <w:rPr>
          <w:rFonts w:ascii="Times New Roman" w:hAnsi="Times New Roman" w:cs="Times New Roman"/>
          <w:i/>
        </w:rPr>
        <w:t>нисковъглеродна</w:t>
      </w:r>
      <w:proofErr w:type="spellEnd"/>
      <w:r w:rsidRPr="001E2B7D">
        <w:rPr>
          <w:rFonts w:ascii="Times New Roman" w:hAnsi="Times New Roman" w:cs="Times New Roman"/>
          <w:i/>
        </w:rPr>
        <w:t xml:space="preserve"> Европа чрез насърчаване на чист и справедлив енергиен преход, зелени и сини инвестиции, кръгова икономика, приспособяване към изменението на климата и превенция и управление на риска</w:t>
      </w:r>
      <w:r w:rsidRPr="00486C5D">
        <w:rPr>
          <w:rFonts w:ascii="Times New Roman" w:hAnsi="Times New Roman" w:cs="Times New Roman"/>
        </w:rPr>
        <w:t>“.</w:t>
      </w:r>
    </w:p>
    <w:p w:rsidR="005160D6" w:rsidRPr="00045C65" w:rsidRDefault="005160D6" w:rsidP="005160D6">
      <w:pPr>
        <w:pStyle w:val="ListParagraph"/>
        <w:spacing w:line="269" w:lineRule="auto"/>
        <w:ind w:left="0" w:firstLine="0"/>
        <w:contextualSpacing w:val="0"/>
        <w:jc w:val="both"/>
        <w:rPr>
          <w:rFonts w:ascii="Times New Roman" w:hAnsi="Times New Roman" w:cs="Times New Roman"/>
        </w:rPr>
      </w:pPr>
      <w:proofErr w:type="spellStart"/>
      <w:r>
        <w:rPr>
          <w:rFonts w:ascii="Times New Roman" w:hAnsi="Times New Roman" w:cs="Times New Roman"/>
        </w:rPr>
        <w:t>Необлагодетелстваните</w:t>
      </w:r>
      <w:proofErr w:type="spellEnd"/>
      <w:r>
        <w:rPr>
          <w:rFonts w:ascii="Times New Roman" w:hAnsi="Times New Roman" w:cs="Times New Roman"/>
        </w:rPr>
        <w:t xml:space="preserve"> и значително изоставащи райони ще бъдат предмет на преференциално третиране при изпълнението на преобладаващата част от планираните мерки по секторните приоритети, като получават предимство в състезателни процедури на конкурентен подбор. При това, списъкът с тези райони няма да е универсално и веднъж завинаги определен, а ще бъде определян от управляващия орган (междинното звено) заедно с критериите за кандидатстване за всяка отделна процедура по обективни критерии. Всяка планирана за територията на цялата страна интервенция ще бъде придружавана от карта, показваща остротата на адресирания проблем в териториален план, с ниво на детайлизация не по-малко от областно ниво (</w:t>
      </w:r>
      <w:r>
        <w:rPr>
          <w:rFonts w:ascii="Times New Roman" w:hAnsi="Times New Roman" w:cs="Times New Roman"/>
          <w:lang w:val="en-US"/>
        </w:rPr>
        <w:t>NUTS 3</w:t>
      </w:r>
      <w:r>
        <w:rPr>
          <w:rFonts w:ascii="Times New Roman" w:hAnsi="Times New Roman" w:cs="Times New Roman"/>
        </w:rPr>
        <w:t>).</w:t>
      </w:r>
      <w:r w:rsidRPr="001E2B7D">
        <w:t xml:space="preserve"> </w:t>
      </w:r>
      <w:r>
        <w:rPr>
          <w:rFonts w:ascii="Times New Roman" w:hAnsi="Times New Roman" w:cs="Times New Roman"/>
        </w:rPr>
        <w:t>Реализирането на намеренията на правителството по отношение на изостаналите региони</w:t>
      </w:r>
      <w:r w:rsidRPr="001E2B7D">
        <w:rPr>
          <w:rFonts w:ascii="Times New Roman" w:hAnsi="Times New Roman" w:cs="Times New Roman"/>
        </w:rPr>
        <w:t xml:space="preserve"> ще способства постигането на една от основните цели на Политиката за сближаване през следващия програмен период – „</w:t>
      </w:r>
      <w:r w:rsidRPr="001E2B7D">
        <w:rPr>
          <w:rFonts w:ascii="Times New Roman" w:hAnsi="Times New Roman" w:cs="Times New Roman"/>
          <w:i/>
        </w:rPr>
        <w:t>Цел на политиката 5:</w:t>
      </w:r>
      <w:r w:rsidRPr="001E2B7D">
        <w:rPr>
          <w:rFonts w:ascii="Times New Roman" w:hAnsi="Times New Roman" w:cs="Times New Roman"/>
        </w:rPr>
        <w:t xml:space="preserve"> </w:t>
      </w:r>
      <w:r w:rsidRPr="001E2B7D">
        <w:rPr>
          <w:rFonts w:ascii="Times New Roman" w:hAnsi="Times New Roman" w:cs="Times New Roman"/>
          <w:i/>
        </w:rPr>
        <w:t>Една Европа по-близка до гражданите чрез насърчаване на устойчиво и интегрирано развитие на градските, селските и крайбрежните райони и местните инициативи</w:t>
      </w:r>
      <w:r w:rsidRPr="001E2B7D">
        <w:rPr>
          <w:rFonts w:ascii="Times New Roman" w:hAnsi="Times New Roman" w:cs="Times New Roman"/>
        </w:rPr>
        <w:t>“</w:t>
      </w:r>
      <w:r>
        <w:rPr>
          <w:rFonts w:ascii="Times New Roman" w:hAnsi="Times New Roman" w:cs="Times New Roman"/>
        </w:rPr>
        <w:t>.</w:t>
      </w:r>
    </w:p>
    <w:p w:rsidR="005160D6" w:rsidRPr="00EF1B83" w:rsidRDefault="002B6447" w:rsidP="001A2C66">
      <w:pPr>
        <w:spacing w:after="160" w:line="259" w:lineRule="auto"/>
        <w:rPr>
          <w:rFonts w:ascii="Times New Roman" w:hAnsi="Times New Roman"/>
          <w:b/>
          <w:sz w:val="18"/>
          <w:szCs w:val="18"/>
        </w:rPr>
      </w:pPr>
      <w:r>
        <w:rPr>
          <w:rFonts w:ascii="Times New Roman" w:hAnsi="Times New Roman"/>
          <w:b/>
          <w:sz w:val="18"/>
          <w:szCs w:val="18"/>
        </w:rPr>
        <w:br w:type="page"/>
      </w:r>
      <w:r w:rsidR="00B6486C" w:rsidRPr="00EF1B83">
        <w:rPr>
          <w:rFonts w:ascii="Times New Roman" w:hAnsi="Times New Roman"/>
          <w:b/>
          <w:noProof/>
          <w:sz w:val="18"/>
          <w:szCs w:val="18"/>
          <w:lang w:eastAsia="bg-BG"/>
        </w:rPr>
        <w:lastRenderedPageBreak/>
        <mc:AlternateContent>
          <mc:Choice Requires="wpg">
            <w:drawing>
              <wp:anchor distT="0" distB="0" distL="114300" distR="114300" simplePos="0" relativeHeight="251678720" behindDoc="0" locked="0" layoutInCell="1" allowOverlap="1" wp14:anchorId="27237A79" wp14:editId="171E39DE">
                <wp:simplePos x="0" y="0"/>
                <wp:positionH relativeFrom="column">
                  <wp:posOffset>-50239</wp:posOffset>
                </wp:positionH>
                <wp:positionV relativeFrom="paragraph">
                  <wp:posOffset>215575</wp:posOffset>
                </wp:positionV>
                <wp:extent cx="6468745" cy="2759710"/>
                <wp:effectExtent l="0" t="0" r="27305" b="21590"/>
                <wp:wrapNone/>
                <wp:docPr id="23" name="Group 23"/>
                <wp:cNvGraphicFramePr/>
                <a:graphic xmlns:a="http://schemas.openxmlformats.org/drawingml/2006/main">
                  <a:graphicData uri="http://schemas.microsoft.com/office/word/2010/wordprocessingGroup">
                    <wpg:wgp>
                      <wpg:cNvGrpSpPr/>
                      <wpg:grpSpPr>
                        <a:xfrm>
                          <a:off x="0" y="0"/>
                          <a:ext cx="6468745" cy="2759710"/>
                          <a:chOff x="359235" y="0"/>
                          <a:chExt cx="8236125" cy="4213555"/>
                        </a:xfrm>
                      </wpg:grpSpPr>
                      <wpg:grpSp>
                        <wpg:cNvPr id="25" name="Group 25"/>
                        <wpg:cNvGrpSpPr/>
                        <wpg:grpSpPr>
                          <a:xfrm>
                            <a:off x="359235" y="936348"/>
                            <a:ext cx="3334941" cy="3130903"/>
                            <a:chOff x="359235" y="-124356"/>
                            <a:chExt cx="3334941" cy="3130903"/>
                          </a:xfrm>
                        </wpg:grpSpPr>
                        <wps:wsp>
                          <wps:cNvPr id="26" name="Text Box 2"/>
                          <wps:cNvSpPr txBox="1">
                            <a:spLocks noChangeArrowheads="1"/>
                          </wps:cNvSpPr>
                          <wps:spPr bwMode="auto">
                            <a:xfrm>
                              <a:off x="359235" y="-124356"/>
                              <a:ext cx="3327588" cy="416964"/>
                            </a:xfrm>
                            <a:prstGeom prst="rect">
                              <a:avLst/>
                            </a:prstGeom>
                            <a:solidFill>
                              <a:srgbClr val="FFFFFF"/>
                            </a:solidFill>
                            <a:ln w="9525">
                              <a:solidFill>
                                <a:srgbClr val="000000"/>
                              </a:solidFill>
                              <a:miter lim="800000"/>
                              <a:headEnd/>
                              <a:tailEnd/>
                            </a:ln>
                          </wps:spPr>
                          <wps:txbx>
                            <w:txbxContent>
                              <w:p w:rsidR="00D20631" w:rsidRPr="00EF1B83" w:rsidRDefault="00D20631" w:rsidP="005160D6">
                                <w:pPr>
                                  <w:jc w:val="center"/>
                                  <w:rPr>
                                    <w:b/>
                                    <w:color w:val="2E74B5" w:themeColor="accent1" w:themeShade="BF"/>
                                    <w:sz w:val="16"/>
                                    <w:szCs w:val="16"/>
                                  </w:rPr>
                                </w:pPr>
                                <w:r>
                                  <w:rPr>
                                    <w:b/>
                                    <w:color w:val="2E74B5" w:themeColor="accent1" w:themeShade="BF"/>
                                    <w:sz w:val="16"/>
                                    <w:szCs w:val="16"/>
                                  </w:rPr>
                                  <w:t xml:space="preserve">Наука и иновации за конкурентоспособност </w:t>
                                </w:r>
                              </w:p>
                            </w:txbxContent>
                          </wps:txbx>
                          <wps:bodyPr rot="0" vert="horz" wrap="square" lIns="91440" tIns="45720" rIns="91440" bIns="45720" anchor="t" anchorCtr="0">
                            <a:noAutofit/>
                          </wps:bodyPr>
                        </wps:wsp>
                        <wps:wsp>
                          <wps:cNvPr id="27" name="Text Box 2"/>
                          <wps:cNvSpPr txBox="1">
                            <a:spLocks noChangeArrowheads="1"/>
                          </wps:cNvSpPr>
                          <wps:spPr bwMode="auto">
                            <a:xfrm>
                              <a:off x="366621" y="665589"/>
                              <a:ext cx="3327555" cy="665584"/>
                            </a:xfrm>
                            <a:prstGeom prst="rect">
                              <a:avLst/>
                            </a:prstGeom>
                            <a:solidFill>
                              <a:srgbClr val="FFFFFF"/>
                            </a:solidFill>
                            <a:ln w="9525">
                              <a:solidFill>
                                <a:srgbClr val="000000"/>
                              </a:solidFill>
                              <a:miter lim="800000"/>
                              <a:headEnd/>
                              <a:tailEnd/>
                            </a:ln>
                          </wps:spPr>
                          <wps:txbx>
                            <w:txbxContent>
                              <w:p w:rsidR="00D20631" w:rsidRPr="00EF1B83" w:rsidRDefault="00D20631" w:rsidP="005160D6">
                                <w:pPr>
                                  <w:jc w:val="center"/>
                                  <w:rPr>
                                    <w:b/>
                                    <w:color w:val="2E74B5" w:themeColor="accent1" w:themeShade="BF"/>
                                    <w:sz w:val="16"/>
                                    <w:szCs w:val="16"/>
                                  </w:rPr>
                                </w:pPr>
                                <w:r>
                                  <w:rPr>
                                    <w:b/>
                                    <w:color w:val="2E74B5" w:themeColor="accent1" w:themeShade="BF"/>
                                    <w:sz w:val="16"/>
                                    <w:szCs w:val="16"/>
                                  </w:rPr>
                                  <w:t>Образование и обучение за високо квалифицирана работна сила</w:t>
                                </w:r>
                              </w:p>
                              <w:p w:rsidR="00D20631" w:rsidRDefault="00D20631"/>
                            </w:txbxContent>
                          </wps:txbx>
                          <wps:bodyPr rot="0" vert="horz" wrap="square" lIns="91440" tIns="45720" rIns="91440" bIns="45720" anchor="t" anchorCtr="0">
                            <a:noAutofit/>
                          </wps:bodyPr>
                        </wps:wsp>
                        <wps:wsp>
                          <wps:cNvPr id="28" name="Text Box 2"/>
                          <wps:cNvSpPr txBox="1">
                            <a:spLocks noChangeArrowheads="1"/>
                          </wps:cNvSpPr>
                          <wps:spPr bwMode="auto">
                            <a:xfrm>
                              <a:off x="359269" y="1653234"/>
                              <a:ext cx="3334577" cy="621792"/>
                            </a:xfrm>
                            <a:prstGeom prst="rect">
                              <a:avLst/>
                            </a:prstGeom>
                            <a:solidFill>
                              <a:srgbClr val="FFFFFF"/>
                            </a:solidFill>
                            <a:ln w="9525">
                              <a:solidFill>
                                <a:srgbClr val="000000"/>
                              </a:solidFill>
                              <a:miter lim="800000"/>
                              <a:headEnd/>
                              <a:tailEnd/>
                            </a:ln>
                          </wps:spPr>
                          <wps:txbx>
                            <w:txbxContent>
                              <w:p w:rsidR="00D20631" w:rsidRPr="00EF1B83" w:rsidRDefault="00D20631" w:rsidP="005160D6">
                                <w:pPr>
                                  <w:jc w:val="center"/>
                                  <w:rPr>
                                    <w:b/>
                                    <w:color w:val="2E74B5" w:themeColor="accent1" w:themeShade="BF"/>
                                    <w:sz w:val="16"/>
                                    <w:szCs w:val="16"/>
                                  </w:rPr>
                                </w:pPr>
                                <w:r w:rsidRPr="00EF1B83">
                                  <w:rPr>
                                    <w:b/>
                                    <w:color w:val="2E74B5" w:themeColor="accent1" w:themeShade="BF"/>
                                    <w:sz w:val="16"/>
                                    <w:szCs w:val="16"/>
                                  </w:rPr>
                                  <w:t xml:space="preserve">Подобряване на </w:t>
                                </w:r>
                                <w:r>
                                  <w:rPr>
                                    <w:b/>
                                    <w:color w:val="2E74B5" w:themeColor="accent1" w:themeShade="BF"/>
                                    <w:sz w:val="16"/>
                                    <w:szCs w:val="16"/>
                                  </w:rPr>
                                  <w:t>свързаността</w:t>
                                </w:r>
                                <w:r w:rsidRPr="00EF1B83">
                                  <w:rPr>
                                    <w:b/>
                                    <w:color w:val="2E74B5" w:themeColor="accent1" w:themeShade="BF"/>
                                    <w:sz w:val="16"/>
                                    <w:szCs w:val="16"/>
                                  </w:rPr>
                                  <w:t xml:space="preserve"> и цифровизация на икономиката</w:t>
                                </w:r>
                              </w:p>
                            </w:txbxContent>
                          </wps:txbx>
                          <wps:bodyPr rot="0" vert="horz" wrap="square" lIns="91440" tIns="45720" rIns="91440" bIns="45720" anchor="t" anchorCtr="0">
                            <a:noAutofit/>
                          </wps:bodyPr>
                        </wps:wsp>
                        <wps:wsp>
                          <wps:cNvPr id="29" name="Text Box 2"/>
                          <wps:cNvSpPr txBox="1">
                            <a:spLocks noChangeArrowheads="1"/>
                          </wps:cNvSpPr>
                          <wps:spPr bwMode="auto">
                            <a:xfrm>
                              <a:off x="359236" y="2582264"/>
                              <a:ext cx="3334609" cy="424283"/>
                            </a:xfrm>
                            <a:prstGeom prst="rect">
                              <a:avLst/>
                            </a:prstGeom>
                            <a:solidFill>
                              <a:srgbClr val="FFFFFF"/>
                            </a:solidFill>
                            <a:ln w="9525">
                              <a:solidFill>
                                <a:srgbClr val="000000"/>
                              </a:solidFill>
                              <a:miter lim="800000"/>
                              <a:headEnd/>
                              <a:tailEnd/>
                            </a:ln>
                          </wps:spPr>
                          <wps:txbx>
                            <w:txbxContent>
                              <w:p w:rsidR="00D20631" w:rsidRPr="00EF1B83" w:rsidRDefault="009B77DA" w:rsidP="005160D6">
                                <w:pPr>
                                  <w:jc w:val="center"/>
                                  <w:rPr>
                                    <w:b/>
                                    <w:color w:val="2E74B5" w:themeColor="accent1" w:themeShade="BF"/>
                                    <w:sz w:val="16"/>
                                    <w:szCs w:val="16"/>
                                  </w:rPr>
                                </w:pPr>
                                <w:r>
                                  <w:rPr>
                                    <w:b/>
                                    <w:color w:val="2E74B5" w:themeColor="accent1" w:themeShade="BF"/>
                                    <w:sz w:val="16"/>
                                    <w:szCs w:val="16"/>
                                  </w:rPr>
                                  <w:t xml:space="preserve">Оползотворяване </w:t>
                                </w:r>
                                <w:r w:rsidR="00D20631" w:rsidRPr="00EF1B83">
                                  <w:rPr>
                                    <w:b/>
                                    <w:color w:val="2E74B5" w:themeColor="accent1" w:themeShade="BF"/>
                                    <w:sz w:val="16"/>
                                    <w:szCs w:val="16"/>
                                  </w:rPr>
                                  <w:t>на местния потенциал</w:t>
                                </w:r>
                              </w:p>
                            </w:txbxContent>
                          </wps:txbx>
                          <wps:bodyPr rot="0" vert="horz" wrap="square" lIns="91440" tIns="45720" rIns="91440" bIns="45720" anchor="t" anchorCtr="0">
                            <a:noAutofit/>
                          </wps:bodyPr>
                        </wps:wsp>
                      </wpg:grpSp>
                      <wpg:grpSp>
                        <wpg:cNvPr id="30" name="Group 30"/>
                        <wpg:cNvGrpSpPr/>
                        <wpg:grpSpPr>
                          <a:xfrm>
                            <a:off x="4901184" y="0"/>
                            <a:ext cx="3694176" cy="4213555"/>
                            <a:chOff x="0" y="0"/>
                            <a:chExt cx="3694176" cy="4213555"/>
                          </a:xfrm>
                        </wpg:grpSpPr>
                        <wps:wsp>
                          <wps:cNvPr id="31" name="Text Box 2"/>
                          <wps:cNvSpPr txBox="1">
                            <a:spLocks noChangeArrowheads="1"/>
                          </wps:cNvSpPr>
                          <wps:spPr bwMode="auto">
                            <a:xfrm>
                              <a:off x="0" y="0"/>
                              <a:ext cx="3686861" cy="621792"/>
                            </a:xfrm>
                            <a:prstGeom prst="rect">
                              <a:avLst/>
                            </a:prstGeom>
                            <a:solidFill>
                              <a:srgbClr val="FFFFFF"/>
                            </a:solidFill>
                            <a:ln w="9525">
                              <a:solidFill>
                                <a:srgbClr val="000000"/>
                              </a:solidFill>
                              <a:miter lim="800000"/>
                              <a:headEnd/>
                              <a:tailEnd/>
                            </a:ln>
                          </wps:spPr>
                          <wps:txbx>
                            <w:txbxContent>
                              <w:p w:rsidR="00D20631" w:rsidRPr="004C188F" w:rsidRDefault="00D20631" w:rsidP="005160D6">
                                <w:pPr>
                                  <w:rPr>
                                    <w:sz w:val="16"/>
                                    <w:szCs w:val="16"/>
                                  </w:rPr>
                                </w:pPr>
                                <w:r w:rsidRPr="004C188F">
                                  <w:rPr>
                                    <w:b/>
                                    <w:color w:val="FF0000"/>
                                    <w:sz w:val="16"/>
                                    <w:szCs w:val="16"/>
                                  </w:rPr>
                                  <w:t>По-интелигентна Европа</w:t>
                                </w:r>
                                <w:r w:rsidRPr="004C188F">
                                  <w:rPr>
                                    <w:color w:val="FF0000"/>
                                    <w:sz w:val="16"/>
                                    <w:szCs w:val="16"/>
                                  </w:rPr>
                                  <w:t xml:space="preserve"> </w:t>
                                </w:r>
                                <w:r w:rsidRPr="004C188F">
                                  <w:rPr>
                                    <w:sz w:val="16"/>
                                    <w:szCs w:val="16"/>
                                  </w:rPr>
                                  <w:t>чрез насърчаване на иновативния и интелигентен икономически преход</w:t>
                                </w:r>
                              </w:p>
                            </w:txbxContent>
                          </wps:txbx>
                          <wps:bodyPr rot="0" vert="horz" wrap="square" lIns="91440" tIns="45720" rIns="91440" bIns="45720" anchor="t" anchorCtr="0">
                            <a:noAutofit/>
                          </wps:bodyPr>
                        </wps:wsp>
                        <wps:wsp>
                          <wps:cNvPr id="32" name="Text Box 2"/>
                          <wps:cNvSpPr txBox="1">
                            <a:spLocks noChangeArrowheads="1"/>
                          </wps:cNvSpPr>
                          <wps:spPr bwMode="auto">
                            <a:xfrm>
                              <a:off x="7315" y="716889"/>
                              <a:ext cx="3686861" cy="1207008"/>
                            </a:xfrm>
                            <a:prstGeom prst="rect">
                              <a:avLst/>
                            </a:prstGeom>
                            <a:solidFill>
                              <a:srgbClr val="FFFFFF"/>
                            </a:solidFill>
                            <a:ln w="9525">
                              <a:solidFill>
                                <a:srgbClr val="000000"/>
                              </a:solidFill>
                              <a:miter lim="800000"/>
                              <a:headEnd/>
                              <a:tailEnd/>
                            </a:ln>
                          </wps:spPr>
                          <wps:txbx>
                            <w:txbxContent>
                              <w:p w:rsidR="00D20631" w:rsidRPr="004C188F" w:rsidRDefault="00D20631" w:rsidP="005160D6">
                                <w:pPr>
                                  <w:rPr>
                                    <w:sz w:val="16"/>
                                    <w:szCs w:val="16"/>
                                  </w:rPr>
                                </w:pPr>
                                <w:r w:rsidRPr="004C188F">
                                  <w:rPr>
                                    <w:b/>
                                    <w:color w:val="FF0000"/>
                                    <w:sz w:val="16"/>
                                    <w:szCs w:val="16"/>
                                  </w:rPr>
                                  <w:t xml:space="preserve">По-зелена, </w:t>
                                </w:r>
                                <w:proofErr w:type="spellStart"/>
                                <w:r w:rsidRPr="004C188F">
                                  <w:rPr>
                                    <w:b/>
                                    <w:color w:val="FF0000"/>
                                    <w:sz w:val="16"/>
                                    <w:szCs w:val="16"/>
                                  </w:rPr>
                                  <w:t>нисковъглеродна</w:t>
                                </w:r>
                                <w:proofErr w:type="spellEnd"/>
                                <w:r w:rsidRPr="004C188F">
                                  <w:rPr>
                                    <w:b/>
                                    <w:color w:val="FF0000"/>
                                    <w:sz w:val="16"/>
                                    <w:szCs w:val="16"/>
                                  </w:rPr>
                                  <w:t xml:space="preserve"> Европа</w:t>
                                </w:r>
                                <w:r w:rsidRPr="004C188F">
                                  <w:rPr>
                                    <w:color w:val="FF0000"/>
                                    <w:sz w:val="16"/>
                                    <w:szCs w:val="16"/>
                                  </w:rPr>
                                  <w:t xml:space="preserve"> </w:t>
                                </w:r>
                                <w:r w:rsidRPr="004C188F">
                                  <w:rPr>
                                    <w:sz w:val="16"/>
                                    <w:szCs w:val="16"/>
                                  </w:rPr>
                                  <w:t>чрез насърчаване на чист и справедлив енергиен преход, зелени и сини инвестиции, кръгова икономика, приспособяване към изменението на климата и превенция и управление на риска</w:t>
                                </w:r>
                              </w:p>
                            </w:txbxContent>
                          </wps:txbx>
                          <wps:bodyPr rot="0" vert="horz" wrap="square" lIns="91440" tIns="45720" rIns="91440" bIns="45720" anchor="t" anchorCtr="0">
                            <a:noAutofit/>
                          </wps:bodyPr>
                        </wps:wsp>
                        <wps:wsp>
                          <wps:cNvPr id="33" name="Text Box 2"/>
                          <wps:cNvSpPr txBox="1">
                            <a:spLocks noChangeArrowheads="1"/>
                          </wps:cNvSpPr>
                          <wps:spPr bwMode="auto">
                            <a:xfrm>
                              <a:off x="0" y="2018995"/>
                              <a:ext cx="3686861" cy="621792"/>
                            </a:xfrm>
                            <a:prstGeom prst="rect">
                              <a:avLst/>
                            </a:prstGeom>
                            <a:solidFill>
                              <a:srgbClr val="FFFFFF"/>
                            </a:solidFill>
                            <a:ln w="9525">
                              <a:solidFill>
                                <a:srgbClr val="000000"/>
                              </a:solidFill>
                              <a:miter lim="800000"/>
                              <a:headEnd/>
                              <a:tailEnd/>
                            </a:ln>
                          </wps:spPr>
                          <wps:txbx>
                            <w:txbxContent>
                              <w:p w:rsidR="00D20631" w:rsidRPr="004C188F" w:rsidRDefault="00D20631" w:rsidP="005160D6">
                                <w:pPr>
                                  <w:rPr>
                                    <w:sz w:val="16"/>
                                    <w:szCs w:val="16"/>
                                  </w:rPr>
                                </w:pPr>
                                <w:r w:rsidRPr="004C188F">
                                  <w:rPr>
                                    <w:b/>
                                    <w:color w:val="FF0000"/>
                                    <w:sz w:val="16"/>
                                    <w:szCs w:val="16"/>
                                  </w:rPr>
                                  <w:t>По-добре свързана Европа</w:t>
                                </w:r>
                                <w:r w:rsidRPr="004C188F">
                                  <w:rPr>
                                    <w:color w:val="FF0000"/>
                                    <w:sz w:val="16"/>
                                    <w:szCs w:val="16"/>
                                  </w:rPr>
                                  <w:t xml:space="preserve"> </w:t>
                                </w:r>
                                <w:r w:rsidRPr="004C188F">
                                  <w:rPr>
                                    <w:sz w:val="16"/>
                                    <w:szCs w:val="16"/>
                                  </w:rPr>
                                  <w:t>чрез подобряване на мобилността и регионалната свързаност на ИКТ</w:t>
                                </w:r>
                              </w:p>
                            </w:txbxContent>
                          </wps:txbx>
                          <wps:bodyPr rot="0" vert="horz" wrap="square" lIns="91440" tIns="45720" rIns="91440" bIns="45720" anchor="t" anchorCtr="0">
                            <a:noAutofit/>
                          </wps:bodyPr>
                        </wps:wsp>
                        <wps:wsp>
                          <wps:cNvPr id="34" name="Text Box 2"/>
                          <wps:cNvSpPr txBox="1">
                            <a:spLocks noChangeArrowheads="1"/>
                          </wps:cNvSpPr>
                          <wps:spPr bwMode="auto">
                            <a:xfrm>
                              <a:off x="0" y="2699308"/>
                              <a:ext cx="3686861" cy="621792"/>
                            </a:xfrm>
                            <a:prstGeom prst="rect">
                              <a:avLst/>
                            </a:prstGeom>
                            <a:solidFill>
                              <a:srgbClr val="FFFFFF"/>
                            </a:solidFill>
                            <a:ln w="9525">
                              <a:solidFill>
                                <a:srgbClr val="000000"/>
                              </a:solidFill>
                              <a:miter lim="800000"/>
                              <a:headEnd/>
                              <a:tailEnd/>
                            </a:ln>
                          </wps:spPr>
                          <wps:txbx>
                            <w:txbxContent>
                              <w:p w:rsidR="00D20631" w:rsidRPr="004C188F" w:rsidRDefault="00D20631" w:rsidP="005160D6">
                                <w:pPr>
                                  <w:rPr>
                                    <w:sz w:val="16"/>
                                    <w:szCs w:val="16"/>
                                  </w:rPr>
                                </w:pPr>
                                <w:r w:rsidRPr="004C188F">
                                  <w:rPr>
                                    <w:b/>
                                    <w:color w:val="FF0000"/>
                                    <w:sz w:val="16"/>
                                    <w:szCs w:val="16"/>
                                  </w:rPr>
                                  <w:t>По-социална Европа</w:t>
                                </w:r>
                                <w:r w:rsidRPr="004C188F">
                                  <w:rPr>
                                    <w:color w:val="FF0000"/>
                                    <w:sz w:val="16"/>
                                    <w:szCs w:val="16"/>
                                  </w:rPr>
                                  <w:t xml:space="preserve"> </w:t>
                                </w:r>
                                <w:r w:rsidRPr="004C188F">
                                  <w:rPr>
                                    <w:sz w:val="16"/>
                                    <w:szCs w:val="16"/>
                                  </w:rPr>
                                  <w:t>чрез изпълнение на европейския стълб на социалните права</w:t>
                                </w:r>
                              </w:p>
                            </w:txbxContent>
                          </wps:txbx>
                          <wps:bodyPr rot="0" vert="horz" wrap="square" lIns="91440" tIns="45720" rIns="91440" bIns="45720" anchor="t" anchorCtr="0">
                            <a:noAutofit/>
                          </wps:bodyPr>
                        </wps:wsp>
                        <wps:wsp>
                          <wps:cNvPr id="35" name="Text Box 2"/>
                          <wps:cNvSpPr txBox="1">
                            <a:spLocks noChangeArrowheads="1"/>
                          </wps:cNvSpPr>
                          <wps:spPr bwMode="auto">
                            <a:xfrm>
                              <a:off x="7315" y="3394252"/>
                              <a:ext cx="3686861" cy="819303"/>
                            </a:xfrm>
                            <a:prstGeom prst="rect">
                              <a:avLst/>
                            </a:prstGeom>
                            <a:solidFill>
                              <a:srgbClr val="FFFFFF"/>
                            </a:solidFill>
                            <a:ln w="9525">
                              <a:solidFill>
                                <a:srgbClr val="000000"/>
                              </a:solidFill>
                              <a:miter lim="800000"/>
                              <a:headEnd/>
                              <a:tailEnd/>
                            </a:ln>
                          </wps:spPr>
                          <wps:txbx>
                            <w:txbxContent>
                              <w:p w:rsidR="00D20631" w:rsidRPr="004C188F" w:rsidRDefault="00D20631" w:rsidP="005160D6">
                                <w:pPr>
                                  <w:rPr>
                                    <w:sz w:val="16"/>
                                    <w:szCs w:val="16"/>
                                  </w:rPr>
                                </w:pPr>
                                <w:r w:rsidRPr="004C188F">
                                  <w:rPr>
                                    <w:sz w:val="16"/>
                                    <w:szCs w:val="16"/>
                                  </w:rPr>
                                  <w:t xml:space="preserve">Една </w:t>
                                </w:r>
                                <w:r w:rsidRPr="004C188F">
                                  <w:rPr>
                                    <w:b/>
                                    <w:color w:val="FF0000"/>
                                    <w:sz w:val="16"/>
                                    <w:szCs w:val="16"/>
                                  </w:rPr>
                                  <w:t>Европа по-близка до гражданите</w:t>
                                </w:r>
                                <w:r w:rsidRPr="004C188F">
                                  <w:rPr>
                                    <w:color w:val="FF0000"/>
                                    <w:sz w:val="16"/>
                                    <w:szCs w:val="16"/>
                                  </w:rPr>
                                  <w:t xml:space="preserve"> </w:t>
                                </w:r>
                                <w:r w:rsidRPr="004C188F">
                                  <w:rPr>
                                    <w:sz w:val="16"/>
                                    <w:szCs w:val="16"/>
                                  </w:rPr>
                                  <w:t>чрез насърчаване на устойчиво и интегрирано развитие на градските, селските и крайбрежните райони и местните инициативи</w:t>
                                </w:r>
                              </w:p>
                            </w:txbxContent>
                          </wps:txbx>
                          <wps:bodyPr rot="0" vert="horz" wrap="square" lIns="91440" tIns="45720" rIns="91440" bIns="45720" anchor="t" anchorCtr="0">
                            <a:noAutofit/>
                          </wps:bodyPr>
                        </wps:wsp>
                      </wpg:grpSp>
                      <wpg:grpSp>
                        <wpg:cNvPr id="36" name="Group 36"/>
                        <wpg:cNvGrpSpPr/>
                        <wpg:grpSpPr>
                          <a:xfrm>
                            <a:off x="3686861" y="356447"/>
                            <a:ext cx="1229055" cy="3495635"/>
                            <a:chOff x="0" y="188198"/>
                            <a:chExt cx="1229055" cy="3495635"/>
                          </a:xfrm>
                        </wpg:grpSpPr>
                        <wps:wsp>
                          <wps:cNvPr id="37" name="Elbow Connector 37"/>
                          <wps:cNvCnPr/>
                          <wps:spPr>
                            <a:xfrm>
                              <a:off x="0" y="3679546"/>
                              <a:ext cx="1219687" cy="0"/>
                            </a:xfrm>
                            <a:prstGeom prst="bentConnector3">
                              <a:avLst/>
                            </a:prstGeom>
                            <a:ln w="19050">
                              <a:solidFill>
                                <a:srgbClr val="92D050"/>
                              </a:solidFill>
                              <a:tailEnd type="arrow"/>
                            </a:ln>
                          </wps:spPr>
                          <wps:style>
                            <a:lnRef idx="1">
                              <a:schemeClr val="accent1"/>
                            </a:lnRef>
                            <a:fillRef idx="0">
                              <a:schemeClr val="accent1"/>
                            </a:fillRef>
                            <a:effectRef idx="0">
                              <a:schemeClr val="accent1"/>
                            </a:effectRef>
                            <a:fontRef idx="minor">
                              <a:schemeClr val="tx1"/>
                            </a:fontRef>
                          </wps:style>
                          <wps:bodyPr/>
                        </wps:wsp>
                        <wps:wsp>
                          <wps:cNvPr id="38" name="Elbow Connector 38"/>
                          <wps:cNvCnPr/>
                          <wps:spPr>
                            <a:xfrm flipV="1">
                              <a:off x="0" y="1185063"/>
                              <a:ext cx="1221888" cy="2498770"/>
                            </a:xfrm>
                            <a:prstGeom prst="bentConnector3">
                              <a:avLst>
                                <a:gd name="adj1" fmla="val 59566"/>
                              </a:avLst>
                            </a:prstGeom>
                            <a:ln w="19050">
                              <a:solidFill>
                                <a:srgbClr val="92D050"/>
                              </a:solidFill>
                              <a:tailEnd type="arrow"/>
                            </a:ln>
                          </wps:spPr>
                          <wps:style>
                            <a:lnRef idx="1">
                              <a:schemeClr val="accent1"/>
                            </a:lnRef>
                            <a:fillRef idx="0">
                              <a:schemeClr val="accent1"/>
                            </a:fillRef>
                            <a:effectRef idx="0">
                              <a:schemeClr val="accent1"/>
                            </a:effectRef>
                            <a:fontRef idx="minor">
                              <a:schemeClr val="tx1"/>
                            </a:fontRef>
                          </wps:style>
                          <wps:bodyPr/>
                        </wps:wsp>
                        <wps:wsp>
                          <wps:cNvPr id="41" name="Elbow Connector 41"/>
                          <wps:cNvCnPr/>
                          <wps:spPr>
                            <a:xfrm flipV="1">
                              <a:off x="7315" y="188198"/>
                              <a:ext cx="1221740" cy="2668389"/>
                            </a:xfrm>
                            <a:prstGeom prst="bentConnector3">
                              <a:avLst>
                                <a:gd name="adj1" fmla="val 54351"/>
                              </a:avLst>
                            </a:prstGeom>
                            <a:ln w="19050">
                              <a:solidFill>
                                <a:schemeClr val="accent3">
                                  <a:lumMod val="50000"/>
                                </a:schemeClr>
                              </a:solidFill>
                              <a:tailEnd type="arrow"/>
                            </a:ln>
                          </wps:spPr>
                          <wps:style>
                            <a:lnRef idx="1">
                              <a:schemeClr val="accent1"/>
                            </a:lnRef>
                            <a:fillRef idx="0">
                              <a:schemeClr val="accent1"/>
                            </a:fillRef>
                            <a:effectRef idx="0">
                              <a:schemeClr val="accent1"/>
                            </a:effectRef>
                            <a:fontRef idx="minor">
                              <a:schemeClr val="tx1"/>
                            </a:fontRef>
                          </wps:style>
                          <wps:bodyPr/>
                        </wps:wsp>
                        <wps:wsp>
                          <wps:cNvPr id="42" name="Elbow Connector 42"/>
                          <wps:cNvCnPr/>
                          <wps:spPr>
                            <a:xfrm flipV="1">
                              <a:off x="7315" y="2235567"/>
                              <a:ext cx="1221740" cy="628060"/>
                            </a:xfrm>
                            <a:prstGeom prst="bentConnector3">
                              <a:avLst>
                                <a:gd name="adj1" fmla="val 54351"/>
                              </a:avLst>
                            </a:prstGeom>
                            <a:ln w="19050">
                              <a:solidFill>
                                <a:schemeClr val="accent3">
                                  <a:lumMod val="50000"/>
                                </a:schemeClr>
                              </a:solidFill>
                              <a:tailEnd type="arrow"/>
                            </a:ln>
                          </wps:spPr>
                          <wps:style>
                            <a:lnRef idx="1">
                              <a:schemeClr val="accent1"/>
                            </a:lnRef>
                            <a:fillRef idx="0">
                              <a:schemeClr val="accent1"/>
                            </a:fillRef>
                            <a:effectRef idx="0">
                              <a:schemeClr val="accent1"/>
                            </a:effectRef>
                            <a:fontRef idx="minor">
                              <a:schemeClr val="tx1"/>
                            </a:fontRef>
                          </wps:style>
                          <wps:bodyPr/>
                        </wps:wsp>
                        <wps:wsp>
                          <wps:cNvPr id="43" name="Elbow Connector 43"/>
                          <wps:cNvCnPr>
                            <a:stCxn id="28" idx="3"/>
                          </wps:cNvCnPr>
                          <wps:spPr>
                            <a:xfrm>
                              <a:off x="6985" y="2856587"/>
                              <a:ext cx="1205126" cy="618719"/>
                            </a:xfrm>
                            <a:prstGeom prst="bentConnector3">
                              <a:avLst>
                                <a:gd name="adj1" fmla="val 55835"/>
                              </a:avLst>
                            </a:prstGeom>
                            <a:ln w="19050">
                              <a:solidFill>
                                <a:schemeClr val="accent3">
                                  <a:lumMod val="50000"/>
                                </a:schemeClr>
                              </a:solidFill>
                              <a:tailEnd type="arrow"/>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27237A79" id="Group 23" o:spid="_x0000_s1026" style="position:absolute;margin-left:-3.95pt;margin-top:16.95pt;width:509.35pt;height:217.3pt;z-index:251678720;mso-width-relative:margin;mso-height-relative:margin" coordorigin="3592" coordsize="82361,42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">
                <v:group id="Group 25" o:spid="_x0000_s1027" style="position:absolute;left:3592;top:9363;width:33349;height:31309" coordorigin="3592,-1243" coordsize="33349,31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type id="_x0000_t202" coordsize="21600,21600" o:spt="202" path="m,l,21600r21600,l21600,xe">
                    <v:stroke joinstyle="miter"/>
                    <v:path gradientshapeok="t" o:connecttype="rect"/>
                  </v:shapetype>
                  <v:shape id="Text Box 2" o:spid="_x0000_s1028" type="#_x0000_t202" style="position:absolute;left:3592;top:-1243;width:33276;height:4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">
                    <v:textbox>
                      <w:txbxContent>
                        <w:p w:rsidR="00D20631" w:rsidRPr="00EF1B83" w:rsidRDefault="00D20631" w:rsidP="005160D6">
                          <w:pPr>
                            <w:jc w:val="center"/>
                            <w:rPr>
                              <w:b/>
                              <w:color w:val="2E74B5" w:themeColor="accent1" w:themeShade="BF"/>
                              <w:sz w:val="16"/>
                              <w:szCs w:val="16"/>
                            </w:rPr>
                          </w:pPr>
                          <w:r>
                            <w:rPr>
                              <w:b/>
                              <w:color w:val="2E74B5" w:themeColor="accent1" w:themeShade="BF"/>
                              <w:sz w:val="16"/>
                              <w:szCs w:val="16"/>
                            </w:rPr>
                            <w:t xml:space="preserve">Наука и иновации за конкурентоспособност </w:t>
                          </w:r>
                        </w:p>
                      </w:txbxContent>
                    </v:textbox>
                  </v:shape>
                  <v:shape id="Text Box 2" o:spid="_x0000_s1029" type="#_x0000_t202" style="position:absolute;left:3666;top:6655;width:33275;height:6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">
                    <v:textbox>
                      <w:txbxContent>
                        <w:p w:rsidR="00D20631" w:rsidRPr="00EF1B83" w:rsidRDefault="00D20631" w:rsidP="005160D6">
                          <w:pPr>
                            <w:jc w:val="center"/>
                            <w:rPr>
                              <w:b/>
                              <w:color w:val="2E74B5" w:themeColor="accent1" w:themeShade="BF"/>
                              <w:sz w:val="16"/>
                              <w:szCs w:val="16"/>
                            </w:rPr>
                          </w:pPr>
                          <w:r>
                            <w:rPr>
                              <w:b/>
                              <w:color w:val="2E74B5" w:themeColor="accent1" w:themeShade="BF"/>
                              <w:sz w:val="16"/>
                              <w:szCs w:val="16"/>
                            </w:rPr>
                            <w:t>Образование и обучение за високо квалифицирана работна сила</w:t>
                          </w:r>
                        </w:p>
                        <w:p w:rsidR="00D20631" w:rsidRDefault="00D20631"/>
                      </w:txbxContent>
                    </v:textbox>
                  </v:shape>
                  <v:shape id="Text Box 2" o:spid="_x0000_s1030" type="#_x0000_t202" style="position:absolute;left:3592;top:16532;width:33346;height:6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">
                    <v:textbox>
                      <w:txbxContent>
                        <w:p w:rsidR="00D20631" w:rsidRPr="00EF1B83" w:rsidRDefault="00D20631" w:rsidP="005160D6">
                          <w:pPr>
                            <w:jc w:val="center"/>
                            <w:rPr>
                              <w:b/>
                              <w:color w:val="2E74B5" w:themeColor="accent1" w:themeShade="BF"/>
                              <w:sz w:val="16"/>
                              <w:szCs w:val="16"/>
                            </w:rPr>
                          </w:pPr>
                          <w:r w:rsidRPr="00EF1B83">
                            <w:rPr>
                              <w:b/>
                              <w:color w:val="2E74B5" w:themeColor="accent1" w:themeShade="BF"/>
                              <w:sz w:val="16"/>
                              <w:szCs w:val="16"/>
                            </w:rPr>
                            <w:t xml:space="preserve">Подобряване на </w:t>
                          </w:r>
                          <w:r>
                            <w:rPr>
                              <w:b/>
                              <w:color w:val="2E74B5" w:themeColor="accent1" w:themeShade="BF"/>
                              <w:sz w:val="16"/>
                              <w:szCs w:val="16"/>
                            </w:rPr>
                            <w:t>свързаността</w:t>
                          </w:r>
                          <w:r w:rsidRPr="00EF1B83">
                            <w:rPr>
                              <w:b/>
                              <w:color w:val="2E74B5" w:themeColor="accent1" w:themeShade="BF"/>
                              <w:sz w:val="16"/>
                              <w:szCs w:val="16"/>
                            </w:rPr>
                            <w:t xml:space="preserve"> и цифровизация на икономиката</w:t>
                          </w:r>
                        </w:p>
                      </w:txbxContent>
                    </v:textbox>
                  </v:shape>
                  <v:shape id="Text Box 2" o:spid="_x0000_s1031" type="#_x0000_t202" style="position:absolute;left:3592;top:25822;width:33346;height:4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">
                    <v:textbox>
                      <w:txbxContent>
                        <w:p w:rsidR="00D20631" w:rsidRPr="00EF1B83" w:rsidRDefault="009B77DA" w:rsidP="005160D6">
                          <w:pPr>
                            <w:jc w:val="center"/>
                            <w:rPr>
                              <w:b/>
                              <w:color w:val="2E74B5" w:themeColor="accent1" w:themeShade="BF"/>
                              <w:sz w:val="16"/>
                              <w:szCs w:val="16"/>
                            </w:rPr>
                          </w:pPr>
                          <w:r>
                            <w:rPr>
                              <w:b/>
                              <w:color w:val="2E74B5" w:themeColor="accent1" w:themeShade="BF"/>
                              <w:sz w:val="16"/>
                              <w:szCs w:val="16"/>
                            </w:rPr>
                            <w:t xml:space="preserve">Оползотворяване </w:t>
                          </w:r>
                          <w:r w:rsidR="00D20631" w:rsidRPr="00EF1B83">
                            <w:rPr>
                              <w:b/>
                              <w:color w:val="2E74B5" w:themeColor="accent1" w:themeShade="BF"/>
                              <w:sz w:val="16"/>
                              <w:szCs w:val="16"/>
                            </w:rPr>
                            <w:t>на местния потенциал</w:t>
                          </w:r>
                        </w:p>
                      </w:txbxContent>
                    </v:textbox>
                  </v:shape>
                </v:group>
                <v:group id="Group 30" o:spid="_x0000_s1032" style="position:absolute;left:49011;width:36942;height:42135" coordsize="36941,42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Text Box 2" o:spid="_x0000_s1033" type="#_x0000_t202" style="position:absolute;width:36868;height:6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">
                    <v:textbox>
                      <w:txbxContent>
                        <w:p w:rsidR="00D20631" w:rsidRPr="004C188F" w:rsidRDefault="00D20631" w:rsidP="005160D6">
                          <w:pPr>
                            <w:rPr>
                              <w:sz w:val="16"/>
                              <w:szCs w:val="16"/>
                            </w:rPr>
                          </w:pPr>
                          <w:r w:rsidRPr="004C188F">
                            <w:rPr>
                              <w:b/>
                              <w:color w:val="FF0000"/>
                              <w:sz w:val="16"/>
                              <w:szCs w:val="16"/>
                            </w:rPr>
                            <w:t>По-интелигентна Европа</w:t>
                          </w:r>
                          <w:r w:rsidRPr="004C188F">
                            <w:rPr>
                              <w:color w:val="FF0000"/>
                              <w:sz w:val="16"/>
                              <w:szCs w:val="16"/>
                            </w:rPr>
                            <w:t xml:space="preserve"> </w:t>
                          </w:r>
                          <w:r w:rsidRPr="004C188F">
                            <w:rPr>
                              <w:sz w:val="16"/>
                              <w:szCs w:val="16"/>
                            </w:rPr>
                            <w:t>чрез насърчаване на иновативния и интелигентен икономически преход</w:t>
                          </w:r>
                        </w:p>
                      </w:txbxContent>
                    </v:textbox>
                  </v:shape>
                  <v:shape id="Text Box 2" o:spid="_x0000_s1034" type="#_x0000_t202" style="position:absolute;left:73;top:7168;width:36868;height:12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">
                    <v:textbox>
                      <w:txbxContent>
                        <w:p w:rsidR="00D20631" w:rsidRPr="004C188F" w:rsidRDefault="00D20631" w:rsidP="005160D6">
                          <w:pPr>
                            <w:rPr>
                              <w:sz w:val="16"/>
                              <w:szCs w:val="16"/>
                            </w:rPr>
                          </w:pPr>
                          <w:r w:rsidRPr="004C188F">
                            <w:rPr>
                              <w:b/>
                              <w:color w:val="FF0000"/>
                              <w:sz w:val="16"/>
                              <w:szCs w:val="16"/>
                            </w:rPr>
                            <w:t>По-зелена, нисковъглеродна Европа</w:t>
                          </w:r>
                          <w:r w:rsidRPr="004C188F">
                            <w:rPr>
                              <w:color w:val="FF0000"/>
                              <w:sz w:val="16"/>
                              <w:szCs w:val="16"/>
                            </w:rPr>
                            <w:t xml:space="preserve"> </w:t>
                          </w:r>
                          <w:r w:rsidRPr="004C188F">
                            <w:rPr>
                              <w:sz w:val="16"/>
                              <w:szCs w:val="16"/>
                            </w:rPr>
                            <w:t>чрез насърчаване на чист и справедлив енергиен преход, зелени и сини инвестиции, кръгова икономика, приспособяване към изменението на климата и превенция и управление на риска</w:t>
                          </w:r>
                        </w:p>
                      </w:txbxContent>
                    </v:textbox>
                  </v:shape>
                  <v:shape id="Text Box 2" o:spid="_x0000_s1035" type="#_x0000_t202" style="position:absolute;top:20189;width:36868;height:6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">
                    <v:textbox>
                      <w:txbxContent>
                        <w:p w:rsidR="00D20631" w:rsidRPr="004C188F" w:rsidRDefault="00D20631" w:rsidP="005160D6">
                          <w:pPr>
                            <w:rPr>
                              <w:sz w:val="16"/>
                              <w:szCs w:val="16"/>
                            </w:rPr>
                          </w:pPr>
                          <w:r w:rsidRPr="004C188F">
                            <w:rPr>
                              <w:b/>
                              <w:color w:val="FF0000"/>
                              <w:sz w:val="16"/>
                              <w:szCs w:val="16"/>
                            </w:rPr>
                            <w:t>По-добре свързана Европа</w:t>
                          </w:r>
                          <w:r w:rsidRPr="004C188F">
                            <w:rPr>
                              <w:color w:val="FF0000"/>
                              <w:sz w:val="16"/>
                              <w:szCs w:val="16"/>
                            </w:rPr>
                            <w:t xml:space="preserve"> </w:t>
                          </w:r>
                          <w:r w:rsidRPr="004C188F">
                            <w:rPr>
                              <w:sz w:val="16"/>
                              <w:szCs w:val="16"/>
                            </w:rPr>
                            <w:t>чрез подобряване на мобилността и регионалната свързаност на ИКТ</w:t>
                          </w:r>
                        </w:p>
                      </w:txbxContent>
                    </v:textbox>
                  </v:shape>
                  <v:shape id="Text Box 2" o:spid="_x0000_s1036" type="#_x0000_t202" style="position:absolute;top:26993;width:36868;height:6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">
                    <v:textbox>
                      <w:txbxContent>
                        <w:p w:rsidR="00D20631" w:rsidRPr="004C188F" w:rsidRDefault="00D20631" w:rsidP="005160D6">
                          <w:pPr>
                            <w:rPr>
                              <w:sz w:val="16"/>
                              <w:szCs w:val="16"/>
                            </w:rPr>
                          </w:pPr>
                          <w:r w:rsidRPr="004C188F">
                            <w:rPr>
                              <w:b/>
                              <w:color w:val="FF0000"/>
                              <w:sz w:val="16"/>
                              <w:szCs w:val="16"/>
                            </w:rPr>
                            <w:t>По-социална Европа</w:t>
                          </w:r>
                          <w:r w:rsidRPr="004C188F">
                            <w:rPr>
                              <w:color w:val="FF0000"/>
                              <w:sz w:val="16"/>
                              <w:szCs w:val="16"/>
                            </w:rPr>
                            <w:t xml:space="preserve"> </w:t>
                          </w:r>
                          <w:r w:rsidRPr="004C188F">
                            <w:rPr>
                              <w:sz w:val="16"/>
                              <w:szCs w:val="16"/>
                            </w:rPr>
                            <w:t>чрез изпълнение на европейския стълб на социалните права</w:t>
                          </w:r>
                        </w:p>
                      </w:txbxContent>
                    </v:textbox>
                  </v:shape>
                  <v:shape id="Text Box 2" o:spid="_x0000_s1037" type="#_x0000_t202" style="position:absolute;left:73;top:33942;width:36868;height:8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">
                    <v:textbox>
                      <w:txbxContent>
                        <w:p w:rsidR="00D20631" w:rsidRPr="004C188F" w:rsidRDefault="00D20631" w:rsidP="005160D6">
                          <w:pPr>
                            <w:rPr>
                              <w:sz w:val="16"/>
                              <w:szCs w:val="16"/>
                            </w:rPr>
                          </w:pPr>
                          <w:r w:rsidRPr="004C188F">
                            <w:rPr>
                              <w:sz w:val="16"/>
                              <w:szCs w:val="16"/>
                            </w:rPr>
                            <w:t xml:space="preserve">Една </w:t>
                          </w:r>
                          <w:r w:rsidRPr="004C188F">
                            <w:rPr>
                              <w:b/>
                              <w:color w:val="FF0000"/>
                              <w:sz w:val="16"/>
                              <w:szCs w:val="16"/>
                            </w:rPr>
                            <w:t>Европа по-близка до гражданите</w:t>
                          </w:r>
                          <w:r w:rsidRPr="004C188F">
                            <w:rPr>
                              <w:color w:val="FF0000"/>
                              <w:sz w:val="16"/>
                              <w:szCs w:val="16"/>
                            </w:rPr>
                            <w:t xml:space="preserve"> </w:t>
                          </w:r>
                          <w:r w:rsidRPr="004C188F">
                            <w:rPr>
                              <w:sz w:val="16"/>
                              <w:szCs w:val="16"/>
                            </w:rPr>
                            <w:t>чрез насърчаване на устойчиво и интегрирано развитие на градските, селските и крайбрежните райони и местните инициативи</w:t>
                          </w:r>
                        </w:p>
                      </w:txbxContent>
                    </v:textbox>
                  </v:shape>
                </v:group>
                <v:group id="Group 36" o:spid="_x0000_s1038" style="position:absolute;left:36868;top:3564;width:12291;height:34956" coordorigin=",1881" coordsize="12290,34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37" o:spid="_x0000_s1039" type="#_x0000_t34" style="position:absolute;top:36795;width:12196;height: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" strokecolor="#92d050" strokeweight="1.5pt">
                    <v:stroke endarrow="open"/>
                  </v:shape>
                  <v:shape id="Elbow Connector 38" o:spid="_x0000_s1040" type="#_x0000_t34" style="position:absolute;top:11850;width:12218;height:2498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" adj="12866" strokecolor="#92d050" strokeweight="1.5pt">
                    <v:stroke endarrow="open"/>
                  </v:shape>
                  <v:shape id="Elbow Connector 41" o:spid="_x0000_s1041" type="#_x0000_t34" style="position:absolute;left:73;top:1881;width:12217;height:26684;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" adj="11740" strokecolor="#525252 [1606]" strokeweight="1.5pt">
                    <v:stroke endarrow="open"/>
                  </v:shape>
                  <v:shape id="Elbow Connector 42" o:spid="_x0000_s1042" type="#_x0000_t34" style="position:absolute;left:73;top:22355;width:12217;height:628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" adj="11740" strokecolor="#525252 [1606]" strokeweight="1.5pt">
                    <v:stroke endarrow="open"/>
                  </v:shape>
                  <v:shape id="Elbow Connector 43" o:spid="_x0000_s1043" type="#_x0000_t34" style="position:absolute;left:69;top:28565;width:12052;height:618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" adj="12060" strokecolor="#525252 [1606]" strokeweight="1.5pt">
                    <v:stroke endarrow="open"/>
                  </v:shape>
                </v:group>
              </v:group>
            </w:pict>
          </mc:Fallback>
        </mc:AlternateContent>
      </w:r>
      <w:r w:rsidR="005160D6">
        <w:rPr>
          <w:rFonts w:ascii="Times New Roman" w:hAnsi="Times New Roman"/>
          <w:b/>
          <w:noProof/>
          <w:sz w:val="18"/>
          <w:szCs w:val="18"/>
          <w:lang w:eastAsia="bg-BG"/>
        </w:rPr>
        <mc:AlternateContent>
          <mc:Choice Requires="wps">
            <w:drawing>
              <wp:anchor distT="0" distB="0" distL="114300" distR="114300" simplePos="0" relativeHeight="251679744" behindDoc="0" locked="0" layoutInCell="1" allowOverlap="1" wp14:anchorId="1D89CACF" wp14:editId="4A363726">
                <wp:simplePos x="0" y="0"/>
                <wp:positionH relativeFrom="column">
                  <wp:posOffset>3142226</wp:posOffset>
                </wp:positionH>
                <wp:positionV relativeFrom="paragraph">
                  <wp:posOffset>2276001</wp:posOffset>
                </wp:positionV>
                <wp:extent cx="379725" cy="0"/>
                <wp:effectExtent l="0" t="76200" r="20955" b="114300"/>
                <wp:wrapNone/>
                <wp:docPr id="20" name="Straight Arrow Connector 20"/>
                <wp:cNvGraphicFramePr/>
                <a:graphic xmlns:a="http://schemas.openxmlformats.org/drawingml/2006/main">
                  <a:graphicData uri="http://schemas.microsoft.com/office/word/2010/wordprocessingShape">
                    <wps:wsp>
                      <wps:cNvCnPr/>
                      <wps:spPr>
                        <a:xfrm>
                          <a:off x="0" y="0"/>
                          <a:ext cx="379725" cy="0"/>
                        </a:xfrm>
                        <a:prstGeom prst="straightConnector1">
                          <a:avLst/>
                        </a:prstGeom>
                        <a:ln w="19050">
                          <a:solidFill>
                            <a:srgbClr val="92D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533C5BDF" id="_x0000_t32" coordsize="21600,21600" o:spt="32" o:oned="t" path="m,l21600,21600e" filled="f">
                <v:path arrowok="t" fillok="f" o:connecttype="none"/>
                <o:lock v:ext="edit" shapetype="t"/>
              </v:shapetype>
              <v:shape id="Straight Arrow Connector 20" o:spid="_x0000_s1026" type="#_x0000_t32" style="position:absolute;margin-left:247.4pt;margin-top:179.2pt;width:29.9pt;height:0;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" strokecolor="#92d050" strokeweight="1.5pt">
                <v:stroke endarrow="open" joinstyle="miter"/>
              </v:shape>
            </w:pict>
          </mc:Fallback>
        </mc:AlternateContent>
      </w:r>
      <w:r w:rsidR="00B6486C">
        <w:rPr>
          <w:rFonts w:ascii="Times New Roman" w:hAnsi="Times New Roman"/>
          <w:b/>
          <w:sz w:val="18"/>
          <w:szCs w:val="18"/>
        </w:rPr>
        <w:t xml:space="preserve">Фиг. </w:t>
      </w:r>
      <w:r w:rsidR="005C5485">
        <w:rPr>
          <w:rFonts w:ascii="Times New Roman" w:hAnsi="Times New Roman"/>
          <w:b/>
          <w:sz w:val="18"/>
          <w:szCs w:val="18"/>
        </w:rPr>
        <w:t xml:space="preserve">2: </w:t>
      </w:r>
      <w:r w:rsidR="005160D6" w:rsidRPr="00EF1B83">
        <w:rPr>
          <w:rFonts w:ascii="Times New Roman" w:hAnsi="Times New Roman"/>
          <w:b/>
          <w:sz w:val="18"/>
          <w:szCs w:val="18"/>
        </w:rPr>
        <w:t xml:space="preserve">Връзка между националните приоритети и основните цели на Политиката за сближаване през периода 2021-2027 г. </w:t>
      </w:r>
    </w:p>
    <w:p w:rsidR="005160D6" w:rsidRDefault="00B6486C"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83840" behindDoc="0" locked="0" layoutInCell="1" allowOverlap="1">
                <wp:simplePos x="0" y="0"/>
                <wp:positionH relativeFrom="column">
                  <wp:posOffset>2572310</wp:posOffset>
                </wp:positionH>
                <wp:positionV relativeFrom="paragraph">
                  <wp:posOffset>248920</wp:posOffset>
                </wp:positionV>
                <wp:extent cx="944320" cy="992161"/>
                <wp:effectExtent l="0" t="76200" r="8255" b="36830"/>
                <wp:wrapNone/>
                <wp:docPr id="49" name="Elbow Connector 49"/>
                <wp:cNvGraphicFramePr/>
                <a:graphic xmlns:a="http://schemas.openxmlformats.org/drawingml/2006/main">
                  <a:graphicData uri="http://schemas.microsoft.com/office/word/2010/wordprocessingShape">
                    <wps:wsp>
                      <wps:cNvCnPr/>
                      <wps:spPr>
                        <a:xfrm flipV="1">
                          <a:off x="0" y="0"/>
                          <a:ext cx="944320" cy="992161"/>
                        </a:xfrm>
                        <a:prstGeom prst="bentConnector3">
                          <a:avLst>
                            <a:gd name="adj1" fmla="val 45961"/>
                          </a:avLst>
                        </a:prstGeom>
                        <a:ln w="19050">
                          <a:solidFill>
                            <a:schemeClr val="accent2">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ECB935D" id="Elbow Connector 49" o:spid="_x0000_s1026" type="#_x0000_t34" style="position:absolute;margin-left:202.55pt;margin-top:19.6pt;width:74.35pt;height:78.1pt;flip:y;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" adj="9928" strokecolor="#c45911 [2405]" strokeweight="1.5pt">
                <v:stroke endarrow="open"/>
              </v:shape>
            </w:pict>
          </mc:Fallback>
        </mc:AlternateContent>
      </w:r>
      <w:r>
        <w:rPr>
          <w:rFonts w:ascii="Times New Roman" w:hAnsi="Times New Roman" w:cs="Times New Roman"/>
          <w:noProof/>
        </w:rPr>
        <mc:AlternateContent>
          <mc:Choice Requires="wps">
            <w:drawing>
              <wp:anchor distT="0" distB="0" distL="114300" distR="114300" simplePos="0" relativeHeight="251680768" behindDoc="0" locked="0" layoutInCell="1" allowOverlap="1">
                <wp:simplePos x="0" y="0"/>
                <wp:positionH relativeFrom="column">
                  <wp:posOffset>2572310</wp:posOffset>
                </wp:positionH>
                <wp:positionV relativeFrom="paragraph">
                  <wp:posOffset>45720</wp:posOffset>
                </wp:positionV>
                <wp:extent cx="947998" cy="622300"/>
                <wp:effectExtent l="0" t="76200" r="5080" b="25400"/>
                <wp:wrapNone/>
                <wp:docPr id="22" name="Elbow Connector 22"/>
                <wp:cNvGraphicFramePr/>
                <a:graphic xmlns:a="http://schemas.openxmlformats.org/drawingml/2006/main">
                  <a:graphicData uri="http://schemas.microsoft.com/office/word/2010/wordprocessingShape">
                    <wps:wsp>
                      <wps:cNvCnPr/>
                      <wps:spPr>
                        <a:xfrm flipV="1">
                          <a:off x="0" y="0"/>
                          <a:ext cx="947998" cy="622300"/>
                        </a:xfrm>
                        <a:prstGeom prst="bentConnector3">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AB2644D" id="Elbow Connector 22" o:spid="_x0000_s1026" type="#_x0000_t34" style="position:absolute;margin-left:202.55pt;margin-top:3.6pt;width:74.65pt;height:49pt;flip:y;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" strokecolor="#5b9bd5 [3204]" strokeweight="1.5pt">
                <v:stroke endarrow="open"/>
              </v:shape>
            </w:pict>
          </mc:Fallback>
        </mc:AlternateContent>
      </w:r>
    </w:p>
    <w:p w:rsidR="005160D6" w:rsidRDefault="005160D6" w:rsidP="00AE0F90">
      <w:pPr>
        <w:pStyle w:val="ListParagraph"/>
        <w:spacing w:line="269" w:lineRule="auto"/>
        <w:ind w:left="0" w:firstLine="0"/>
        <w:contextualSpacing w:val="0"/>
        <w:jc w:val="both"/>
        <w:rPr>
          <w:rFonts w:ascii="Times New Roman" w:hAnsi="Times New Roman" w:cs="Times New Roman"/>
        </w:rPr>
      </w:pPr>
    </w:p>
    <w:p w:rsidR="005160D6" w:rsidRDefault="00B6486C"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81792" behindDoc="0" locked="0" layoutInCell="1" allowOverlap="1">
                <wp:simplePos x="0" y="0"/>
                <wp:positionH relativeFrom="column">
                  <wp:posOffset>2572309</wp:posOffset>
                </wp:positionH>
                <wp:positionV relativeFrom="paragraph">
                  <wp:posOffset>53975</wp:posOffset>
                </wp:positionV>
                <wp:extent cx="959569" cy="0"/>
                <wp:effectExtent l="0" t="76200" r="12065" b="114300"/>
                <wp:wrapNone/>
                <wp:docPr id="46" name="Straight Arrow Connector 46"/>
                <wp:cNvGraphicFramePr/>
                <a:graphic xmlns:a="http://schemas.openxmlformats.org/drawingml/2006/main">
                  <a:graphicData uri="http://schemas.microsoft.com/office/word/2010/wordprocessingShape">
                    <wps:wsp>
                      <wps:cNvCnPr/>
                      <wps:spPr>
                        <a:xfrm>
                          <a:off x="0" y="0"/>
                          <a:ext cx="959569"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12A8C1A" id="Straight Arrow Connector 46" o:spid="_x0000_s1026" type="#_x0000_t32" style="position:absolute;margin-left:202.55pt;margin-top:4.25pt;width:75.55pt;height:0;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" strokecolor="#5b9bd5 [3204]" strokeweight="1.5pt">
                <v:stroke endarrow="open" joinstyle="miter"/>
              </v:shape>
            </w:pict>
          </mc:Fallback>
        </mc:AlternateContent>
      </w:r>
    </w:p>
    <w:p w:rsidR="005160D6" w:rsidRDefault="005160D6" w:rsidP="00AE0F90">
      <w:pPr>
        <w:pStyle w:val="ListParagraph"/>
        <w:spacing w:line="269" w:lineRule="auto"/>
        <w:ind w:left="0" w:firstLine="0"/>
        <w:contextualSpacing w:val="0"/>
        <w:jc w:val="both"/>
        <w:rPr>
          <w:rFonts w:ascii="Times New Roman" w:hAnsi="Times New Roman" w:cs="Times New Roman"/>
        </w:rPr>
      </w:pPr>
    </w:p>
    <w:p w:rsidR="005160D6" w:rsidRDefault="00B6486C" w:rsidP="00AE0F90">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82816" behindDoc="0" locked="0" layoutInCell="1" allowOverlap="1">
                <wp:simplePos x="0" y="0"/>
                <wp:positionH relativeFrom="column">
                  <wp:posOffset>2569210</wp:posOffset>
                </wp:positionH>
                <wp:positionV relativeFrom="paragraph">
                  <wp:posOffset>12991</wp:posOffset>
                </wp:positionV>
                <wp:extent cx="947420" cy="620739"/>
                <wp:effectExtent l="0" t="0" r="43180" b="103505"/>
                <wp:wrapNone/>
                <wp:docPr id="48" name="Elbow Connector 48"/>
                <wp:cNvGraphicFramePr/>
                <a:graphic xmlns:a="http://schemas.openxmlformats.org/drawingml/2006/main">
                  <a:graphicData uri="http://schemas.microsoft.com/office/word/2010/wordprocessingShape">
                    <wps:wsp>
                      <wps:cNvCnPr/>
                      <wps:spPr>
                        <a:xfrm>
                          <a:off x="0" y="0"/>
                          <a:ext cx="947420" cy="620739"/>
                        </a:xfrm>
                        <a:prstGeom prst="bentConnector3">
                          <a:avLst>
                            <a:gd name="adj1" fmla="val 45979"/>
                          </a:avLst>
                        </a:prstGeom>
                        <a:ln w="19050">
                          <a:solidFill>
                            <a:schemeClr val="accent2">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BE47CF6" id="Elbow Connector 48" o:spid="_x0000_s1026" type="#_x0000_t34" style="position:absolute;margin-left:202.3pt;margin-top:1pt;width:74.6pt;height:48.9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" adj="9931" strokecolor="#c45911 [2405]" strokeweight="1.5pt">
                <v:stroke endarrow="open"/>
              </v:shape>
            </w:pict>
          </mc:Fallback>
        </mc:AlternateContent>
      </w:r>
    </w:p>
    <w:p w:rsidR="005160D6" w:rsidRDefault="005160D6" w:rsidP="00AE0F90">
      <w:pPr>
        <w:pStyle w:val="ListParagraph"/>
        <w:spacing w:line="269" w:lineRule="auto"/>
        <w:ind w:left="0" w:firstLine="0"/>
        <w:contextualSpacing w:val="0"/>
        <w:jc w:val="both"/>
        <w:rPr>
          <w:rFonts w:ascii="Times New Roman" w:hAnsi="Times New Roman" w:cs="Times New Roman"/>
        </w:rPr>
      </w:pPr>
    </w:p>
    <w:p w:rsidR="005160D6" w:rsidRDefault="005160D6" w:rsidP="00AE0F90">
      <w:pPr>
        <w:pStyle w:val="ListParagraph"/>
        <w:spacing w:line="269" w:lineRule="auto"/>
        <w:ind w:left="0" w:firstLine="0"/>
        <w:contextualSpacing w:val="0"/>
        <w:jc w:val="both"/>
        <w:rPr>
          <w:rFonts w:ascii="Times New Roman" w:hAnsi="Times New Roman" w:cs="Times New Roman"/>
        </w:rPr>
      </w:pPr>
    </w:p>
    <w:p w:rsidR="005160D6" w:rsidRDefault="005160D6" w:rsidP="00AE0F90">
      <w:pPr>
        <w:pStyle w:val="ListParagraph"/>
        <w:spacing w:line="269" w:lineRule="auto"/>
        <w:ind w:left="0" w:firstLine="0"/>
        <w:contextualSpacing w:val="0"/>
        <w:jc w:val="both"/>
        <w:rPr>
          <w:rFonts w:ascii="Times New Roman" w:hAnsi="Times New Roman" w:cs="Times New Roman"/>
        </w:rPr>
      </w:pPr>
    </w:p>
    <w:p w:rsidR="005160D6" w:rsidRDefault="005160D6" w:rsidP="00AE0F90">
      <w:pPr>
        <w:pStyle w:val="ListParagraph"/>
        <w:spacing w:line="269" w:lineRule="auto"/>
        <w:ind w:left="0" w:firstLine="0"/>
        <w:contextualSpacing w:val="0"/>
        <w:jc w:val="both"/>
        <w:rPr>
          <w:rFonts w:ascii="Times New Roman" w:hAnsi="Times New Roman" w:cs="Times New Roman"/>
        </w:rPr>
      </w:pPr>
    </w:p>
    <w:p w:rsidR="005160D6" w:rsidRDefault="005160D6" w:rsidP="00AE0F90">
      <w:pPr>
        <w:pStyle w:val="ListParagraph"/>
        <w:spacing w:line="269" w:lineRule="auto"/>
        <w:ind w:left="0" w:firstLine="0"/>
        <w:contextualSpacing w:val="0"/>
        <w:jc w:val="both"/>
        <w:rPr>
          <w:rFonts w:ascii="Times New Roman" w:hAnsi="Times New Roman" w:cs="Times New Roman"/>
        </w:rPr>
      </w:pPr>
    </w:p>
    <w:p w:rsidR="005160D6" w:rsidRDefault="005160D6" w:rsidP="00AE0F90">
      <w:pPr>
        <w:pStyle w:val="ListParagraph"/>
        <w:spacing w:line="269" w:lineRule="auto"/>
        <w:ind w:left="0" w:firstLine="0"/>
        <w:contextualSpacing w:val="0"/>
        <w:jc w:val="both"/>
        <w:rPr>
          <w:rFonts w:ascii="Times New Roman" w:hAnsi="Times New Roman" w:cs="Times New Roman"/>
        </w:rPr>
      </w:pPr>
    </w:p>
    <w:p w:rsidR="005160D6" w:rsidRPr="00F203B6" w:rsidRDefault="005160D6" w:rsidP="002B6447">
      <w:pPr>
        <w:pStyle w:val="Heading1"/>
        <w:pageBreakBefore/>
        <w:numPr>
          <w:ilvl w:val="0"/>
          <w:numId w:val="16"/>
        </w:numPr>
        <w:ind w:left="714" w:hanging="357"/>
        <w:rPr>
          <w:color w:val="1F497D"/>
        </w:rPr>
      </w:pPr>
      <w:bookmarkStart w:id="68" w:name="_Toc791841"/>
      <w:r>
        <w:rPr>
          <w:color w:val="1F497D"/>
        </w:rPr>
        <w:lastRenderedPageBreak/>
        <w:t xml:space="preserve">Списък с програми </w:t>
      </w:r>
      <w:r w:rsidRPr="00F203B6">
        <w:rPr>
          <w:color w:val="1F497D"/>
        </w:rPr>
        <w:t>за период</w:t>
      </w:r>
      <w:r>
        <w:rPr>
          <w:color w:val="1F497D"/>
        </w:rPr>
        <w:t>а 2021-2027 г.</w:t>
      </w:r>
      <w:bookmarkEnd w:id="68"/>
    </w:p>
    <w:p w:rsidR="005160D6" w:rsidRDefault="005160D6" w:rsidP="005160D6">
      <w:pPr>
        <w:pStyle w:val="ListParagraph"/>
        <w:spacing w:line="269" w:lineRule="auto"/>
        <w:ind w:left="0" w:firstLine="0"/>
        <w:contextualSpacing w:val="0"/>
        <w:jc w:val="both"/>
        <w:rPr>
          <w:rFonts w:ascii="Times New Roman" w:hAnsi="Times New Roman" w:cs="Times New Roman"/>
        </w:rPr>
      </w:pPr>
      <w:r>
        <w:rPr>
          <w:rFonts w:ascii="Times New Roman" w:hAnsi="Times New Roman" w:cs="Times New Roman"/>
        </w:rPr>
        <w:t>През следващия програмен период стратегията на правителството в областите, съфинансирани по Политиката за сближаване на ЕС, ще се реализира в рамките на следните програми:</w:t>
      </w:r>
    </w:p>
    <w:p w:rsidR="005160D6" w:rsidRDefault="005160D6" w:rsidP="005160D6">
      <w:pPr>
        <w:pStyle w:val="ListParagraph"/>
        <w:numPr>
          <w:ilvl w:val="0"/>
          <w:numId w:val="38"/>
        </w:numPr>
        <w:spacing w:line="269" w:lineRule="auto"/>
        <w:contextualSpacing w:val="0"/>
        <w:jc w:val="both"/>
        <w:rPr>
          <w:rFonts w:ascii="Times New Roman" w:hAnsi="Times New Roman" w:cs="Times New Roman"/>
        </w:rPr>
      </w:pPr>
      <w:r>
        <w:rPr>
          <w:rFonts w:ascii="Times New Roman" w:hAnsi="Times New Roman" w:cs="Times New Roman"/>
        </w:rPr>
        <w:t>Програма за иновации и конкурентоспособност;</w:t>
      </w:r>
    </w:p>
    <w:p w:rsidR="005160D6" w:rsidRDefault="005160D6" w:rsidP="005160D6">
      <w:pPr>
        <w:pStyle w:val="ListParagraph"/>
        <w:numPr>
          <w:ilvl w:val="0"/>
          <w:numId w:val="38"/>
        </w:numPr>
        <w:spacing w:line="269" w:lineRule="auto"/>
        <w:contextualSpacing w:val="0"/>
        <w:jc w:val="both"/>
        <w:rPr>
          <w:rFonts w:ascii="Times New Roman" w:hAnsi="Times New Roman" w:cs="Times New Roman"/>
        </w:rPr>
      </w:pPr>
      <w:r>
        <w:rPr>
          <w:rFonts w:ascii="Times New Roman" w:hAnsi="Times New Roman" w:cs="Times New Roman"/>
        </w:rPr>
        <w:t>Програма за наука и образование;</w:t>
      </w:r>
    </w:p>
    <w:p w:rsidR="005160D6" w:rsidRDefault="005160D6" w:rsidP="005160D6">
      <w:pPr>
        <w:pStyle w:val="ListParagraph"/>
        <w:numPr>
          <w:ilvl w:val="0"/>
          <w:numId w:val="38"/>
        </w:numPr>
        <w:spacing w:line="269" w:lineRule="auto"/>
        <w:contextualSpacing w:val="0"/>
        <w:jc w:val="both"/>
        <w:rPr>
          <w:rFonts w:ascii="Times New Roman" w:hAnsi="Times New Roman" w:cs="Times New Roman"/>
        </w:rPr>
      </w:pPr>
      <w:r>
        <w:rPr>
          <w:rFonts w:ascii="Times New Roman" w:hAnsi="Times New Roman" w:cs="Times New Roman"/>
        </w:rPr>
        <w:t>Програма за околна среда;</w:t>
      </w:r>
    </w:p>
    <w:p w:rsidR="005160D6" w:rsidRDefault="005160D6" w:rsidP="005160D6">
      <w:pPr>
        <w:pStyle w:val="ListParagraph"/>
        <w:numPr>
          <w:ilvl w:val="0"/>
          <w:numId w:val="38"/>
        </w:numPr>
        <w:spacing w:line="269" w:lineRule="auto"/>
        <w:contextualSpacing w:val="0"/>
        <w:jc w:val="both"/>
        <w:rPr>
          <w:rFonts w:ascii="Times New Roman" w:hAnsi="Times New Roman" w:cs="Times New Roman"/>
        </w:rPr>
      </w:pPr>
      <w:r>
        <w:rPr>
          <w:rFonts w:ascii="Times New Roman" w:hAnsi="Times New Roman" w:cs="Times New Roman"/>
        </w:rPr>
        <w:t>Програма за транспортна свързаност;</w:t>
      </w:r>
    </w:p>
    <w:p w:rsidR="005160D6" w:rsidRDefault="005160D6" w:rsidP="005160D6">
      <w:pPr>
        <w:pStyle w:val="ListParagraph"/>
        <w:numPr>
          <w:ilvl w:val="0"/>
          <w:numId w:val="38"/>
        </w:numPr>
        <w:spacing w:line="269" w:lineRule="auto"/>
        <w:contextualSpacing w:val="0"/>
        <w:jc w:val="both"/>
        <w:rPr>
          <w:rFonts w:ascii="Times New Roman" w:hAnsi="Times New Roman" w:cs="Times New Roman"/>
        </w:rPr>
      </w:pPr>
      <w:r>
        <w:rPr>
          <w:rFonts w:ascii="Times New Roman" w:hAnsi="Times New Roman" w:cs="Times New Roman"/>
        </w:rPr>
        <w:t>Програма за електронно управление и техническа помощ;</w:t>
      </w:r>
    </w:p>
    <w:p w:rsidR="005160D6" w:rsidRDefault="005160D6" w:rsidP="005160D6">
      <w:pPr>
        <w:pStyle w:val="ListParagraph"/>
        <w:numPr>
          <w:ilvl w:val="0"/>
          <w:numId w:val="38"/>
        </w:numPr>
        <w:spacing w:line="269" w:lineRule="auto"/>
        <w:contextualSpacing w:val="0"/>
        <w:jc w:val="both"/>
        <w:rPr>
          <w:rFonts w:ascii="Times New Roman" w:hAnsi="Times New Roman" w:cs="Times New Roman"/>
        </w:rPr>
      </w:pPr>
      <w:r>
        <w:rPr>
          <w:rFonts w:ascii="Times New Roman" w:hAnsi="Times New Roman" w:cs="Times New Roman"/>
        </w:rPr>
        <w:t>Програма за развитие на регионите;</w:t>
      </w:r>
    </w:p>
    <w:p w:rsidR="005160D6" w:rsidRDefault="005160D6" w:rsidP="005160D6">
      <w:pPr>
        <w:pStyle w:val="ListParagraph"/>
        <w:numPr>
          <w:ilvl w:val="0"/>
          <w:numId w:val="38"/>
        </w:numPr>
        <w:spacing w:line="269" w:lineRule="auto"/>
        <w:contextualSpacing w:val="0"/>
        <w:jc w:val="both"/>
        <w:rPr>
          <w:rFonts w:ascii="Times New Roman" w:hAnsi="Times New Roman" w:cs="Times New Roman"/>
        </w:rPr>
      </w:pPr>
      <w:r>
        <w:rPr>
          <w:rFonts w:ascii="Times New Roman" w:hAnsi="Times New Roman" w:cs="Times New Roman"/>
        </w:rPr>
        <w:t>Програма за развитие на човешките ресурси;</w:t>
      </w:r>
    </w:p>
    <w:p w:rsidR="005160D6" w:rsidRDefault="005160D6" w:rsidP="005160D6">
      <w:pPr>
        <w:pStyle w:val="ListParagraph"/>
        <w:numPr>
          <w:ilvl w:val="0"/>
          <w:numId w:val="38"/>
        </w:numPr>
        <w:spacing w:line="269" w:lineRule="auto"/>
        <w:contextualSpacing w:val="0"/>
        <w:jc w:val="both"/>
        <w:rPr>
          <w:rFonts w:ascii="Times New Roman" w:hAnsi="Times New Roman" w:cs="Times New Roman"/>
        </w:rPr>
      </w:pPr>
      <w:r>
        <w:rPr>
          <w:rFonts w:ascii="Times New Roman" w:hAnsi="Times New Roman" w:cs="Times New Roman"/>
        </w:rPr>
        <w:t xml:space="preserve">Програма за рибарство и </w:t>
      </w:r>
      <w:proofErr w:type="spellStart"/>
      <w:r>
        <w:rPr>
          <w:rFonts w:ascii="Times New Roman" w:hAnsi="Times New Roman" w:cs="Times New Roman"/>
        </w:rPr>
        <w:t>аквакултури</w:t>
      </w:r>
      <w:proofErr w:type="spellEnd"/>
      <w:r>
        <w:rPr>
          <w:rFonts w:ascii="Times New Roman" w:hAnsi="Times New Roman" w:cs="Times New Roman"/>
        </w:rPr>
        <w:t>;</w:t>
      </w:r>
    </w:p>
    <w:p w:rsidR="005160D6" w:rsidRDefault="005160D6" w:rsidP="005160D6">
      <w:pPr>
        <w:pStyle w:val="ListParagraph"/>
        <w:numPr>
          <w:ilvl w:val="0"/>
          <w:numId w:val="38"/>
        </w:numPr>
        <w:spacing w:line="269" w:lineRule="auto"/>
        <w:contextualSpacing w:val="0"/>
        <w:jc w:val="both"/>
        <w:rPr>
          <w:rFonts w:ascii="Times New Roman" w:hAnsi="Times New Roman" w:cs="Times New Roman"/>
        </w:rPr>
      </w:pPr>
      <w:r>
        <w:rPr>
          <w:rFonts w:ascii="Times New Roman" w:hAnsi="Times New Roman" w:cs="Times New Roman"/>
        </w:rPr>
        <w:t>Програма за развитие на селските райони</w:t>
      </w:r>
      <w:r w:rsidR="00B6486C">
        <w:rPr>
          <w:rFonts w:ascii="Times New Roman" w:hAnsi="Times New Roman" w:cs="Times New Roman"/>
        </w:rPr>
        <w:t>.</w:t>
      </w:r>
    </w:p>
    <w:sectPr w:rsidR="005160D6" w:rsidSect="00AE0F90">
      <w:headerReference w:type="even" r:id="rId33"/>
      <w:headerReference w:type="default" r:id="rId34"/>
      <w:footerReference w:type="even" r:id="rId35"/>
      <w:footerReference w:type="default" r:id="rId36"/>
      <w:headerReference w:type="first" r:id="rId37"/>
      <w:footerReference w:type="first" r:id="rId38"/>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71A4" w:rsidRDefault="000671A4" w:rsidP="00AE0F90">
      <w:pPr>
        <w:spacing w:after="0" w:line="240" w:lineRule="auto"/>
      </w:pPr>
      <w:r>
        <w:separator/>
      </w:r>
    </w:p>
  </w:endnote>
  <w:endnote w:type="continuationSeparator" w:id="0">
    <w:p w:rsidR="000671A4" w:rsidRDefault="000671A4" w:rsidP="00AE0F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onsolas">
    <w:panose1 w:val="020B0609020204030204"/>
    <w:charset w:val="CC"/>
    <w:family w:val="modern"/>
    <w:pitch w:val="fixed"/>
    <w:sig w:usb0="E00006FF" w:usb1="0000FCFF" w:usb2="00000001"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0631" w:rsidRDefault="00D20631" w:rsidP="00197DD9">
    <w:pPr>
      <w:pStyle w:val="Footer"/>
      <w:jc w:val="right"/>
    </w:pPr>
    <w:r>
      <w:t xml:space="preserve">страница | </w:t>
    </w:r>
    <w:r>
      <w:fldChar w:fldCharType="begin"/>
    </w:r>
    <w:r>
      <w:instrText xml:space="preserve"> PAGE   \* MERGEFORMAT </w:instrText>
    </w:r>
    <w:r>
      <w:fldChar w:fldCharType="separate"/>
    </w:r>
    <w:r w:rsidR="00444089">
      <w:rPr>
        <w:noProof/>
      </w:rPr>
      <w:t>46</w:t>
    </w:r>
    <w:r>
      <w:rPr>
        <w:noProof/>
      </w:rPr>
      <w:fldChar w:fldCharType="end"/>
    </w:r>
  </w:p>
  <w:p w:rsidR="00D20631" w:rsidRDefault="00D20631" w:rsidP="00197DD9">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0631" w:rsidRDefault="00D20631">
    <w:pPr>
      <w:pStyle w:val="Footer"/>
    </w:pPr>
    <w:r>
      <w:fldChar w:fldCharType="begin"/>
    </w:r>
    <w:r>
      <w:instrText xml:space="preserve"> PAGE   \* MERGEFORMAT </w:instrText>
    </w:r>
    <w:r>
      <w:fldChar w:fldCharType="separate"/>
    </w:r>
    <w:r w:rsidR="00444089">
      <w:rPr>
        <w:noProof/>
      </w:rPr>
      <w:t>45</w:t>
    </w:r>
    <w:r>
      <w:rPr>
        <w:noProof/>
      </w:rPr>
      <w:fldChar w:fldCharType="end"/>
    </w:r>
    <w:r>
      <w:t xml:space="preserve"> | страница</w:t>
    </w:r>
  </w:p>
  <w:p w:rsidR="00D20631" w:rsidRDefault="00D2063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357B" w:rsidRDefault="006135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71A4" w:rsidRDefault="000671A4" w:rsidP="00AE0F90">
      <w:pPr>
        <w:spacing w:after="0" w:line="240" w:lineRule="auto"/>
      </w:pPr>
      <w:r>
        <w:separator/>
      </w:r>
    </w:p>
  </w:footnote>
  <w:footnote w:type="continuationSeparator" w:id="0">
    <w:p w:rsidR="000671A4" w:rsidRDefault="000671A4" w:rsidP="00AE0F90">
      <w:pPr>
        <w:spacing w:after="0" w:line="240" w:lineRule="auto"/>
      </w:pPr>
      <w:r>
        <w:continuationSeparator/>
      </w:r>
    </w:p>
  </w:footnote>
  <w:footnote w:id="1">
    <w:p w:rsidR="00D20631" w:rsidRPr="00A84FEC" w:rsidRDefault="00D20631" w:rsidP="00AE0F90">
      <w:pPr>
        <w:pStyle w:val="FootnoteText"/>
        <w:rPr>
          <w:rFonts w:ascii="Times New Roman" w:hAnsi="Times New Roman"/>
          <w:sz w:val="16"/>
          <w:szCs w:val="16"/>
        </w:rPr>
      </w:pPr>
      <w:r w:rsidRPr="00A84FEC">
        <w:rPr>
          <w:rStyle w:val="FootnoteReference"/>
          <w:rFonts w:ascii="Times New Roman" w:hAnsi="Times New Roman"/>
          <w:sz w:val="16"/>
          <w:szCs w:val="16"/>
        </w:rPr>
        <w:footnoteRef/>
      </w:r>
      <w:r w:rsidRPr="00A84FEC">
        <w:rPr>
          <w:rFonts w:ascii="Times New Roman" w:hAnsi="Times New Roman"/>
          <w:sz w:val="16"/>
          <w:szCs w:val="16"/>
        </w:rPr>
        <w:t xml:space="preserve"> Мат </w:t>
      </w:r>
      <w:proofErr w:type="spellStart"/>
      <w:r w:rsidRPr="00A84FEC">
        <w:rPr>
          <w:rFonts w:ascii="Times New Roman" w:hAnsi="Times New Roman"/>
          <w:sz w:val="16"/>
          <w:szCs w:val="16"/>
        </w:rPr>
        <w:t>Бритин</w:t>
      </w:r>
      <w:proofErr w:type="spellEnd"/>
      <w:r w:rsidRPr="00A84FEC">
        <w:rPr>
          <w:rFonts w:ascii="Times New Roman" w:hAnsi="Times New Roman"/>
          <w:sz w:val="16"/>
          <w:szCs w:val="16"/>
        </w:rPr>
        <w:t xml:space="preserve">, президент на </w:t>
      </w:r>
      <w:proofErr w:type="spellStart"/>
      <w:r w:rsidRPr="00A84FEC">
        <w:rPr>
          <w:rFonts w:ascii="Times New Roman" w:hAnsi="Times New Roman"/>
          <w:sz w:val="16"/>
          <w:szCs w:val="16"/>
        </w:rPr>
        <w:t>Google</w:t>
      </w:r>
      <w:proofErr w:type="spellEnd"/>
      <w:r w:rsidRPr="00A84FEC">
        <w:rPr>
          <w:rFonts w:ascii="Times New Roman" w:hAnsi="Times New Roman"/>
          <w:sz w:val="16"/>
          <w:szCs w:val="16"/>
        </w:rPr>
        <w:t xml:space="preserve"> за </w:t>
      </w:r>
      <w:r>
        <w:rPr>
          <w:rFonts w:ascii="Times New Roman" w:hAnsi="Times New Roman"/>
          <w:sz w:val="16"/>
          <w:szCs w:val="16"/>
        </w:rPr>
        <w:t xml:space="preserve">Европа, Средния Изток и Африка, </w:t>
      </w:r>
      <w:r w:rsidRPr="00A84FEC">
        <w:rPr>
          <w:rFonts w:ascii="Times New Roman" w:hAnsi="Times New Roman"/>
          <w:sz w:val="16"/>
          <w:szCs w:val="16"/>
        </w:rPr>
        <w:t xml:space="preserve">конференция </w:t>
      </w:r>
      <w:r>
        <w:rPr>
          <w:rFonts w:ascii="Times New Roman" w:hAnsi="Times New Roman"/>
          <w:sz w:val="16"/>
          <w:szCs w:val="16"/>
        </w:rPr>
        <w:t>„</w:t>
      </w:r>
      <w:r w:rsidRPr="00BB5DD8">
        <w:rPr>
          <w:rFonts w:ascii="Times New Roman" w:hAnsi="Times New Roman"/>
          <w:i/>
          <w:sz w:val="16"/>
          <w:szCs w:val="16"/>
        </w:rPr>
        <w:t>EDIT4Tomorrow</w:t>
      </w:r>
      <w:r>
        <w:rPr>
          <w:rFonts w:ascii="Times New Roman" w:hAnsi="Times New Roman"/>
          <w:sz w:val="16"/>
          <w:szCs w:val="16"/>
        </w:rPr>
        <w:t>“, ноември 2017 г.,</w:t>
      </w:r>
      <w:r w:rsidRPr="00A84FEC">
        <w:rPr>
          <w:rFonts w:ascii="Times New Roman" w:hAnsi="Times New Roman"/>
          <w:sz w:val="16"/>
          <w:szCs w:val="16"/>
        </w:rPr>
        <w:t xml:space="preserve"> София.</w:t>
      </w:r>
    </w:p>
  </w:footnote>
  <w:footnote w:id="2">
    <w:p w:rsidR="00D20631" w:rsidRPr="005C14C4" w:rsidRDefault="00D20631" w:rsidP="00AE0F90">
      <w:pPr>
        <w:pStyle w:val="FootnoteText"/>
        <w:rPr>
          <w:rFonts w:ascii="Times New Roman" w:hAnsi="Times New Roman"/>
          <w:sz w:val="16"/>
          <w:szCs w:val="16"/>
        </w:rPr>
      </w:pPr>
      <w:r w:rsidRPr="005C14C4">
        <w:rPr>
          <w:rStyle w:val="FootnoteReference"/>
          <w:rFonts w:ascii="Times New Roman" w:hAnsi="Times New Roman"/>
          <w:sz w:val="16"/>
          <w:szCs w:val="16"/>
        </w:rPr>
        <w:footnoteRef/>
      </w:r>
      <w:r w:rsidRPr="005C14C4">
        <w:rPr>
          <w:rFonts w:ascii="Times New Roman" w:hAnsi="Times New Roman"/>
          <w:sz w:val="16"/>
          <w:szCs w:val="16"/>
        </w:rPr>
        <w:t xml:space="preserve"> </w:t>
      </w:r>
      <w:r w:rsidRPr="005C14C4">
        <w:rPr>
          <w:rFonts w:ascii="Times New Roman" w:hAnsi="Times New Roman"/>
          <w:sz w:val="16"/>
          <w:szCs w:val="16"/>
        </w:rPr>
        <w:t>Концепция за цифрова трансформация на българската индустрия (Индустрия 4.0).</w:t>
      </w:r>
    </w:p>
  </w:footnote>
  <w:footnote w:id="3">
    <w:p w:rsidR="00D20631" w:rsidRPr="00494768" w:rsidRDefault="00D20631" w:rsidP="00AE0F90">
      <w:pPr>
        <w:pStyle w:val="FootnoteText"/>
        <w:rPr>
          <w:rFonts w:ascii="Times New Roman" w:hAnsi="Times New Roman"/>
          <w:sz w:val="16"/>
          <w:szCs w:val="16"/>
        </w:rPr>
      </w:pPr>
      <w:r w:rsidRPr="00494768">
        <w:rPr>
          <w:rStyle w:val="FootnoteReference"/>
          <w:rFonts w:ascii="Times New Roman" w:hAnsi="Times New Roman"/>
          <w:sz w:val="16"/>
          <w:szCs w:val="16"/>
        </w:rPr>
        <w:footnoteRef/>
      </w:r>
      <w:r w:rsidRPr="00494768">
        <w:rPr>
          <w:rFonts w:ascii="Times New Roman" w:hAnsi="Times New Roman"/>
          <w:sz w:val="16"/>
          <w:szCs w:val="16"/>
        </w:rPr>
        <w:t xml:space="preserve"> </w:t>
      </w:r>
      <w:r w:rsidRPr="00494768">
        <w:rPr>
          <w:rFonts w:ascii="Times New Roman" w:hAnsi="Times New Roman"/>
          <w:sz w:val="16"/>
          <w:szCs w:val="16"/>
        </w:rPr>
        <w:t>„</w:t>
      </w:r>
      <w:r w:rsidRPr="00BB5DD8">
        <w:rPr>
          <w:rFonts w:ascii="Times New Roman" w:hAnsi="Times New Roman"/>
          <w:i/>
          <w:sz w:val="16"/>
          <w:szCs w:val="16"/>
        </w:rPr>
        <w:t>Макроикономически последици от изменението на климата</w:t>
      </w:r>
      <w:r>
        <w:rPr>
          <w:rFonts w:ascii="Times New Roman" w:hAnsi="Times New Roman"/>
          <w:sz w:val="16"/>
          <w:szCs w:val="16"/>
        </w:rPr>
        <w:t xml:space="preserve">“, </w:t>
      </w:r>
      <w:r w:rsidRPr="00494768">
        <w:rPr>
          <w:rFonts w:ascii="Times New Roman" w:hAnsi="Times New Roman"/>
          <w:sz w:val="16"/>
          <w:szCs w:val="16"/>
        </w:rPr>
        <w:t>Принос към Национална</w:t>
      </w:r>
      <w:r>
        <w:rPr>
          <w:rFonts w:ascii="Times New Roman" w:hAnsi="Times New Roman"/>
          <w:sz w:val="16"/>
          <w:szCs w:val="16"/>
        </w:rPr>
        <w:t>та</w:t>
      </w:r>
      <w:r w:rsidRPr="00494768">
        <w:rPr>
          <w:rFonts w:ascii="Times New Roman" w:hAnsi="Times New Roman"/>
          <w:sz w:val="16"/>
          <w:szCs w:val="16"/>
        </w:rPr>
        <w:t xml:space="preserve"> </w:t>
      </w:r>
      <w:r>
        <w:rPr>
          <w:rFonts w:ascii="Times New Roman" w:hAnsi="Times New Roman"/>
          <w:sz w:val="16"/>
          <w:szCs w:val="16"/>
        </w:rPr>
        <w:t>с</w:t>
      </w:r>
      <w:r w:rsidRPr="00494768">
        <w:rPr>
          <w:rFonts w:ascii="Times New Roman" w:hAnsi="Times New Roman"/>
          <w:sz w:val="16"/>
          <w:szCs w:val="16"/>
        </w:rPr>
        <w:t>тратегия за адаптация към изменението на климата</w:t>
      </w:r>
      <w:r>
        <w:rPr>
          <w:rFonts w:ascii="Times New Roman" w:hAnsi="Times New Roman"/>
          <w:sz w:val="16"/>
          <w:szCs w:val="16"/>
        </w:rPr>
        <w:t>,</w:t>
      </w:r>
      <w:r w:rsidRPr="00494768">
        <w:rPr>
          <w:rFonts w:ascii="Times New Roman" w:hAnsi="Times New Roman"/>
          <w:sz w:val="16"/>
          <w:szCs w:val="16"/>
        </w:rPr>
        <w:t xml:space="preserve"> 2018 г.</w:t>
      </w:r>
    </w:p>
  </w:footnote>
  <w:footnote w:id="4">
    <w:p w:rsidR="00D20631" w:rsidRPr="007B7B0A" w:rsidRDefault="00D20631" w:rsidP="00AE0F90">
      <w:pPr>
        <w:pStyle w:val="FootnoteText"/>
        <w:rPr>
          <w:rFonts w:ascii="Times New Roman" w:hAnsi="Times New Roman"/>
          <w:sz w:val="16"/>
          <w:szCs w:val="16"/>
        </w:rPr>
      </w:pPr>
      <w:r w:rsidRPr="007B7B0A">
        <w:rPr>
          <w:rStyle w:val="FootnoteReference"/>
          <w:rFonts w:ascii="Times New Roman" w:hAnsi="Times New Roman"/>
          <w:sz w:val="16"/>
          <w:szCs w:val="16"/>
        </w:rPr>
        <w:footnoteRef/>
      </w:r>
      <w:r w:rsidRPr="007B7B0A">
        <w:rPr>
          <w:rFonts w:ascii="Times New Roman" w:hAnsi="Times New Roman"/>
          <w:sz w:val="16"/>
          <w:szCs w:val="16"/>
        </w:rPr>
        <w:t xml:space="preserve"> </w:t>
      </w:r>
      <w:r>
        <w:rPr>
          <w:rFonts w:ascii="Times New Roman" w:hAnsi="Times New Roman"/>
          <w:sz w:val="16"/>
          <w:szCs w:val="16"/>
        </w:rPr>
        <w:t xml:space="preserve"> </w:t>
      </w:r>
      <w:r>
        <w:rPr>
          <w:rFonts w:ascii="Times New Roman" w:hAnsi="Times New Roman"/>
          <w:sz w:val="16"/>
          <w:szCs w:val="16"/>
        </w:rPr>
        <w:t>Н</w:t>
      </w:r>
      <w:r w:rsidRPr="007B7B0A">
        <w:rPr>
          <w:rFonts w:ascii="Times New Roman" w:hAnsi="Times New Roman"/>
          <w:sz w:val="16"/>
          <w:szCs w:val="16"/>
        </w:rPr>
        <w:t>аблюдаван</w:t>
      </w:r>
      <w:r>
        <w:rPr>
          <w:rFonts w:ascii="Times New Roman" w:hAnsi="Times New Roman"/>
          <w:sz w:val="16"/>
          <w:szCs w:val="16"/>
        </w:rPr>
        <w:t>ият</w:t>
      </w:r>
      <w:r w:rsidRPr="007B7B0A">
        <w:rPr>
          <w:rFonts w:ascii="Times New Roman" w:hAnsi="Times New Roman"/>
          <w:sz w:val="16"/>
          <w:szCs w:val="16"/>
        </w:rPr>
        <w:t xml:space="preserve"> от Института за икономика и мир в Университета в Сидни (Австралия) в 163 държави в света </w:t>
      </w:r>
      <w:r>
        <w:rPr>
          <w:rFonts w:ascii="Times New Roman" w:hAnsi="Times New Roman"/>
          <w:sz w:val="16"/>
          <w:szCs w:val="16"/>
        </w:rPr>
        <w:t xml:space="preserve">показател </w:t>
      </w:r>
      <w:r w:rsidRPr="007B7B0A">
        <w:rPr>
          <w:rFonts w:ascii="Times New Roman" w:hAnsi="Times New Roman"/>
          <w:sz w:val="16"/>
          <w:szCs w:val="16"/>
        </w:rPr>
        <w:t xml:space="preserve">показва, че </w:t>
      </w:r>
      <w:r>
        <w:rPr>
          <w:rFonts w:ascii="Times New Roman" w:hAnsi="Times New Roman"/>
          <w:sz w:val="16"/>
          <w:szCs w:val="16"/>
        </w:rPr>
        <w:t>България е на 26-то място през 2018 г., отбелязвайки подобрение с 20 позиции през последните 10 години</w:t>
      </w:r>
      <w:r w:rsidRPr="007B7B0A">
        <w:rPr>
          <w:rFonts w:ascii="Times New Roman" w:hAnsi="Times New Roman"/>
          <w:sz w:val="16"/>
          <w:szCs w:val="16"/>
        </w:rPr>
        <w:t>.</w:t>
      </w:r>
    </w:p>
  </w:footnote>
  <w:footnote w:id="5">
    <w:p w:rsidR="00D20631" w:rsidRPr="00997F86" w:rsidRDefault="00D20631" w:rsidP="00AE0F90">
      <w:pPr>
        <w:pStyle w:val="FootnoteText"/>
        <w:rPr>
          <w:rFonts w:ascii="Times New Roman" w:hAnsi="Times New Roman"/>
          <w:sz w:val="16"/>
          <w:szCs w:val="16"/>
        </w:rPr>
      </w:pPr>
      <w:r w:rsidRPr="00997F86">
        <w:rPr>
          <w:rStyle w:val="FootnoteReference"/>
          <w:rFonts w:ascii="Times New Roman" w:hAnsi="Times New Roman"/>
          <w:sz w:val="16"/>
          <w:szCs w:val="16"/>
        </w:rPr>
        <w:footnoteRef/>
      </w:r>
      <w:r w:rsidRPr="00997F86">
        <w:rPr>
          <w:rFonts w:ascii="Times New Roman" w:hAnsi="Times New Roman"/>
          <w:sz w:val="16"/>
          <w:szCs w:val="16"/>
        </w:rPr>
        <w:t xml:space="preserve"> </w:t>
      </w:r>
      <w:r w:rsidRPr="00997F86">
        <w:rPr>
          <w:rFonts w:ascii="Times New Roman" w:hAnsi="Times New Roman"/>
          <w:sz w:val="16"/>
          <w:szCs w:val="16"/>
        </w:rPr>
        <w:t>Тук, както и навсякъде в документа, използваните източници (освен ако изрично не е отбелязано друго) са Евростат и НСИ.</w:t>
      </w:r>
    </w:p>
  </w:footnote>
  <w:footnote w:id="6">
    <w:p w:rsidR="00D20631" w:rsidRPr="00B5343F" w:rsidRDefault="00D20631" w:rsidP="00AE0F90">
      <w:pPr>
        <w:pStyle w:val="FootnoteText"/>
        <w:rPr>
          <w:rFonts w:ascii="Times New Roman" w:hAnsi="Times New Roman"/>
          <w:sz w:val="16"/>
          <w:szCs w:val="16"/>
        </w:rPr>
      </w:pPr>
      <w:r w:rsidRPr="00B5343F">
        <w:rPr>
          <w:rStyle w:val="FootnoteReference"/>
          <w:rFonts w:ascii="Times New Roman" w:hAnsi="Times New Roman"/>
          <w:sz w:val="16"/>
          <w:szCs w:val="16"/>
        </w:rPr>
        <w:footnoteRef/>
      </w:r>
      <w:r w:rsidRPr="00B5343F">
        <w:rPr>
          <w:rFonts w:ascii="Times New Roman" w:hAnsi="Times New Roman"/>
          <w:sz w:val="16"/>
          <w:szCs w:val="16"/>
        </w:rPr>
        <w:t xml:space="preserve"> </w:t>
      </w:r>
      <w:r w:rsidRPr="00B5343F">
        <w:rPr>
          <w:rFonts w:ascii="Times New Roman" w:hAnsi="Times New Roman"/>
          <w:sz w:val="16"/>
          <w:szCs w:val="16"/>
        </w:rPr>
        <w:t xml:space="preserve">Средногодишен дял на </w:t>
      </w:r>
      <w:proofErr w:type="spellStart"/>
      <w:r w:rsidRPr="00B5343F">
        <w:rPr>
          <w:rFonts w:ascii="Times New Roman" w:hAnsi="Times New Roman"/>
          <w:sz w:val="16"/>
          <w:szCs w:val="16"/>
        </w:rPr>
        <w:t>брутокапиталообразуването</w:t>
      </w:r>
      <w:proofErr w:type="spellEnd"/>
      <w:r w:rsidRPr="00B5343F">
        <w:rPr>
          <w:rFonts w:ascii="Times New Roman" w:hAnsi="Times New Roman"/>
          <w:sz w:val="16"/>
          <w:szCs w:val="16"/>
        </w:rPr>
        <w:t xml:space="preserve"> в БВП за периода 2007-2008 г.</w:t>
      </w:r>
    </w:p>
  </w:footnote>
  <w:footnote w:id="7">
    <w:p w:rsidR="00D20631" w:rsidRPr="00AE5B3E" w:rsidRDefault="00D20631" w:rsidP="00AE0F90">
      <w:pPr>
        <w:pStyle w:val="FootnoteText"/>
        <w:rPr>
          <w:rFonts w:ascii="Times New Roman" w:hAnsi="Times New Roman"/>
          <w:sz w:val="16"/>
          <w:szCs w:val="16"/>
        </w:rPr>
      </w:pPr>
      <w:r w:rsidRPr="00AE5B3E">
        <w:rPr>
          <w:rStyle w:val="FootnoteReference"/>
          <w:rFonts w:ascii="Times New Roman" w:hAnsi="Times New Roman"/>
          <w:sz w:val="16"/>
          <w:szCs w:val="16"/>
        </w:rPr>
        <w:footnoteRef/>
      </w:r>
      <w:r w:rsidRPr="00AE5B3E">
        <w:rPr>
          <w:rFonts w:ascii="Times New Roman" w:hAnsi="Times New Roman"/>
          <w:sz w:val="16"/>
          <w:szCs w:val="16"/>
        </w:rPr>
        <w:t xml:space="preserve"> </w:t>
      </w:r>
      <w:r w:rsidRPr="00AE5B3E">
        <w:rPr>
          <w:rFonts w:ascii="Times New Roman" w:hAnsi="Times New Roman"/>
          <w:sz w:val="16"/>
          <w:szCs w:val="16"/>
        </w:rPr>
        <w:t>По данни на БНБ</w:t>
      </w:r>
      <w:r>
        <w:rPr>
          <w:rFonts w:ascii="Times New Roman" w:hAnsi="Times New Roman"/>
          <w:sz w:val="16"/>
          <w:szCs w:val="16"/>
        </w:rPr>
        <w:t xml:space="preserve"> за периода 2007-2008 г.</w:t>
      </w:r>
    </w:p>
  </w:footnote>
  <w:footnote w:id="8">
    <w:p w:rsidR="00D20631" w:rsidRPr="00997F86" w:rsidRDefault="00D20631" w:rsidP="00AE0F90">
      <w:pPr>
        <w:pStyle w:val="FootnoteText"/>
        <w:rPr>
          <w:rFonts w:ascii="Times New Roman" w:hAnsi="Times New Roman"/>
          <w:sz w:val="16"/>
          <w:szCs w:val="16"/>
        </w:rPr>
      </w:pPr>
      <w:r w:rsidRPr="00997F86">
        <w:rPr>
          <w:rStyle w:val="FootnoteReference"/>
          <w:rFonts w:ascii="Times New Roman" w:hAnsi="Times New Roman"/>
          <w:sz w:val="16"/>
          <w:szCs w:val="16"/>
        </w:rPr>
        <w:footnoteRef/>
      </w:r>
      <w:r w:rsidRPr="00997F86">
        <w:rPr>
          <w:rFonts w:ascii="Times New Roman" w:hAnsi="Times New Roman"/>
          <w:sz w:val="16"/>
          <w:szCs w:val="16"/>
        </w:rPr>
        <w:t xml:space="preserve"> </w:t>
      </w:r>
      <w:r w:rsidRPr="00997F86">
        <w:rPr>
          <w:rFonts w:ascii="Times New Roman" w:hAnsi="Times New Roman"/>
          <w:sz w:val="16"/>
          <w:szCs w:val="16"/>
        </w:rPr>
        <w:t>По данни на БНБ.</w:t>
      </w:r>
    </w:p>
  </w:footnote>
  <w:footnote w:id="9">
    <w:p w:rsidR="00D20631" w:rsidRPr="00990A44" w:rsidRDefault="00D20631" w:rsidP="00AE0F90">
      <w:pPr>
        <w:pStyle w:val="FootnoteText"/>
        <w:rPr>
          <w:rFonts w:ascii="Times New Roman" w:hAnsi="Times New Roman"/>
          <w:sz w:val="16"/>
          <w:szCs w:val="16"/>
        </w:rPr>
      </w:pPr>
      <w:r w:rsidRPr="00990A44">
        <w:rPr>
          <w:rStyle w:val="FootnoteReference"/>
          <w:rFonts w:ascii="Times New Roman" w:hAnsi="Times New Roman"/>
          <w:sz w:val="16"/>
          <w:szCs w:val="16"/>
        </w:rPr>
        <w:footnoteRef/>
      </w:r>
      <w:r w:rsidRPr="00990A44">
        <w:rPr>
          <w:rFonts w:ascii="Times New Roman" w:hAnsi="Times New Roman"/>
          <w:sz w:val="16"/>
          <w:szCs w:val="16"/>
        </w:rPr>
        <w:t xml:space="preserve"> </w:t>
      </w:r>
      <w:proofErr w:type="spellStart"/>
      <w:r w:rsidRPr="00990A44">
        <w:rPr>
          <w:rFonts w:ascii="Times New Roman" w:hAnsi="Times New Roman"/>
          <w:sz w:val="16"/>
          <w:szCs w:val="16"/>
        </w:rPr>
        <w:t>Брутообразуване</w:t>
      </w:r>
      <w:proofErr w:type="spellEnd"/>
      <w:r w:rsidRPr="00990A44">
        <w:rPr>
          <w:rFonts w:ascii="Times New Roman" w:hAnsi="Times New Roman"/>
          <w:sz w:val="16"/>
          <w:szCs w:val="16"/>
        </w:rPr>
        <w:t xml:space="preserve"> на основен капитал.</w:t>
      </w:r>
    </w:p>
  </w:footnote>
  <w:footnote w:id="10">
    <w:p w:rsidR="00D20631" w:rsidRPr="000B6C7A" w:rsidRDefault="00D20631" w:rsidP="00AE0F90">
      <w:pPr>
        <w:pStyle w:val="FootnoteText"/>
        <w:rPr>
          <w:rFonts w:ascii="Times New Roman" w:hAnsi="Times New Roman"/>
          <w:sz w:val="16"/>
          <w:szCs w:val="16"/>
        </w:rPr>
      </w:pPr>
      <w:r w:rsidRPr="000B6C7A">
        <w:rPr>
          <w:rStyle w:val="FootnoteReference"/>
          <w:rFonts w:ascii="Times New Roman" w:hAnsi="Times New Roman"/>
          <w:sz w:val="16"/>
          <w:szCs w:val="16"/>
        </w:rPr>
        <w:footnoteRef/>
      </w:r>
      <w:r w:rsidRPr="000B6C7A">
        <w:rPr>
          <w:rFonts w:ascii="Times New Roman" w:hAnsi="Times New Roman"/>
          <w:sz w:val="16"/>
          <w:szCs w:val="16"/>
        </w:rPr>
        <w:t xml:space="preserve"> </w:t>
      </w:r>
      <w:r w:rsidRPr="000B6C7A">
        <w:rPr>
          <w:rFonts w:ascii="Times New Roman" w:hAnsi="Times New Roman"/>
          <w:sz w:val="16"/>
          <w:szCs w:val="16"/>
        </w:rPr>
        <w:t xml:space="preserve">По-бавно нарастване на ценовото равнище през периода е регистрирано само </w:t>
      </w:r>
      <w:r>
        <w:rPr>
          <w:rFonts w:ascii="Times New Roman" w:hAnsi="Times New Roman"/>
          <w:sz w:val="16"/>
          <w:szCs w:val="16"/>
        </w:rPr>
        <w:t>в</w:t>
      </w:r>
      <w:r w:rsidRPr="000B6C7A">
        <w:rPr>
          <w:rFonts w:ascii="Times New Roman" w:hAnsi="Times New Roman"/>
          <w:sz w:val="16"/>
          <w:szCs w:val="16"/>
        </w:rPr>
        <w:t xml:space="preserve"> Ирландия (0.6%), Гърция (8.1%) и Кипър (7.5%).</w:t>
      </w:r>
    </w:p>
  </w:footnote>
  <w:footnote w:id="11">
    <w:p w:rsidR="00D20631" w:rsidRPr="000B6C7A" w:rsidRDefault="00D20631" w:rsidP="00AE0F90">
      <w:pPr>
        <w:pStyle w:val="FootnoteText"/>
        <w:rPr>
          <w:rFonts w:ascii="Times New Roman" w:hAnsi="Times New Roman"/>
          <w:sz w:val="16"/>
          <w:szCs w:val="16"/>
        </w:rPr>
      </w:pPr>
      <w:r w:rsidRPr="000B6C7A">
        <w:rPr>
          <w:rStyle w:val="FootnoteReference"/>
          <w:rFonts w:ascii="Times New Roman" w:hAnsi="Times New Roman"/>
          <w:sz w:val="16"/>
          <w:szCs w:val="16"/>
        </w:rPr>
        <w:footnoteRef/>
      </w:r>
      <w:r w:rsidRPr="000B6C7A">
        <w:rPr>
          <w:rFonts w:ascii="Times New Roman" w:hAnsi="Times New Roman"/>
          <w:sz w:val="16"/>
          <w:szCs w:val="16"/>
        </w:rPr>
        <w:t xml:space="preserve"> </w:t>
      </w:r>
      <w:r w:rsidRPr="000B6C7A">
        <w:rPr>
          <w:rFonts w:ascii="Times New Roman" w:hAnsi="Times New Roman"/>
          <w:sz w:val="16"/>
          <w:szCs w:val="16"/>
        </w:rPr>
        <w:t>На ниво ЕС, кумулативната инфлация за периода 200</w:t>
      </w:r>
      <w:r>
        <w:rPr>
          <w:rFonts w:ascii="Times New Roman" w:hAnsi="Times New Roman"/>
          <w:sz w:val="16"/>
          <w:szCs w:val="16"/>
        </w:rPr>
        <w:t>9</w:t>
      </w:r>
      <w:r w:rsidRPr="000B6C7A">
        <w:rPr>
          <w:rFonts w:ascii="Times New Roman" w:hAnsi="Times New Roman"/>
          <w:sz w:val="16"/>
          <w:szCs w:val="16"/>
        </w:rPr>
        <w:t>-2017 г. достига 13.5%.</w:t>
      </w:r>
    </w:p>
  </w:footnote>
  <w:footnote w:id="12">
    <w:p w:rsidR="00D20631" w:rsidRPr="00DD6EEA" w:rsidRDefault="00D20631" w:rsidP="00AE0F90">
      <w:pPr>
        <w:pStyle w:val="FootnoteText"/>
        <w:rPr>
          <w:rFonts w:ascii="Times New Roman" w:hAnsi="Times New Roman"/>
          <w:sz w:val="16"/>
          <w:szCs w:val="16"/>
        </w:rPr>
      </w:pPr>
      <w:r w:rsidRPr="00DD6EEA">
        <w:rPr>
          <w:rStyle w:val="FootnoteReference"/>
          <w:rFonts w:ascii="Times New Roman" w:hAnsi="Times New Roman"/>
          <w:sz w:val="16"/>
          <w:szCs w:val="16"/>
        </w:rPr>
        <w:footnoteRef/>
      </w:r>
      <w:r w:rsidRPr="00DD6EEA">
        <w:rPr>
          <w:rFonts w:ascii="Times New Roman" w:hAnsi="Times New Roman"/>
          <w:sz w:val="16"/>
          <w:szCs w:val="16"/>
        </w:rPr>
        <w:t xml:space="preserve"> </w:t>
      </w:r>
      <w:r w:rsidRPr="00DD6EEA">
        <w:rPr>
          <w:rFonts w:ascii="Times New Roman" w:hAnsi="Times New Roman"/>
          <w:sz w:val="16"/>
          <w:szCs w:val="16"/>
        </w:rPr>
        <w:t>Ирл</w:t>
      </w:r>
      <w:r>
        <w:rPr>
          <w:rFonts w:ascii="Times New Roman" w:hAnsi="Times New Roman"/>
          <w:sz w:val="16"/>
          <w:szCs w:val="16"/>
        </w:rPr>
        <w:t>а</w:t>
      </w:r>
      <w:r w:rsidRPr="00DD6EEA">
        <w:rPr>
          <w:rFonts w:ascii="Times New Roman" w:hAnsi="Times New Roman"/>
          <w:sz w:val="16"/>
          <w:szCs w:val="16"/>
        </w:rPr>
        <w:t>ндия, Литва и Румъния.</w:t>
      </w:r>
    </w:p>
  </w:footnote>
  <w:footnote w:id="13">
    <w:p w:rsidR="00D20631" w:rsidRPr="00055947" w:rsidRDefault="00D20631" w:rsidP="00AE0F90">
      <w:pPr>
        <w:pStyle w:val="FootnoteText"/>
        <w:rPr>
          <w:rFonts w:ascii="Times New Roman" w:hAnsi="Times New Roman"/>
          <w:sz w:val="16"/>
          <w:szCs w:val="16"/>
        </w:rPr>
      </w:pPr>
      <w:r w:rsidRPr="00055947">
        <w:rPr>
          <w:rStyle w:val="FootnoteReference"/>
          <w:rFonts w:ascii="Times New Roman" w:hAnsi="Times New Roman"/>
          <w:sz w:val="16"/>
          <w:szCs w:val="16"/>
        </w:rPr>
        <w:footnoteRef/>
      </w:r>
      <w:r w:rsidRPr="00055947">
        <w:rPr>
          <w:rFonts w:ascii="Times New Roman" w:hAnsi="Times New Roman"/>
          <w:sz w:val="16"/>
          <w:szCs w:val="16"/>
        </w:rPr>
        <w:t xml:space="preserve"> </w:t>
      </w:r>
      <w:r w:rsidRPr="00055947">
        <w:rPr>
          <w:rFonts w:ascii="Times New Roman" w:hAnsi="Times New Roman"/>
          <w:sz w:val="16"/>
          <w:szCs w:val="16"/>
        </w:rPr>
        <w:t>Към 31.12.2016 г.</w:t>
      </w:r>
    </w:p>
  </w:footnote>
  <w:footnote w:id="14">
    <w:p w:rsidR="00D20631" w:rsidRPr="00055947" w:rsidRDefault="00D20631" w:rsidP="00AE0F90">
      <w:pPr>
        <w:pStyle w:val="FootnoteText"/>
        <w:rPr>
          <w:rFonts w:ascii="Times New Roman" w:hAnsi="Times New Roman"/>
          <w:sz w:val="16"/>
          <w:szCs w:val="16"/>
        </w:rPr>
      </w:pPr>
      <w:r w:rsidRPr="00055947">
        <w:rPr>
          <w:rStyle w:val="FootnoteReference"/>
          <w:rFonts w:ascii="Times New Roman" w:hAnsi="Times New Roman"/>
          <w:sz w:val="16"/>
          <w:szCs w:val="16"/>
        </w:rPr>
        <w:footnoteRef/>
      </w:r>
      <w:r w:rsidRPr="00055947">
        <w:rPr>
          <w:rFonts w:ascii="Times New Roman" w:hAnsi="Times New Roman"/>
          <w:sz w:val="16"/>
          <w:szCs w:val="16"/>
        </w:rPr>
        <w:t xml:space="preserve"> </w:t>
      </w:r>
      <w:r w:rsidRPr="00055947">
        <w:rPr>
          <w:rFonts w:ascii="Times New Roman" w:hAnsi="Times New Roman"/>
          <w:sz w:val="16"/>
          <w:szCs w:val="16"/>
        </w:rPr>
        <w:t>През 2017 г. по-ниска раждаемост е отбелязана от 4 държави – членки на ЕС: Гърция (-8.2‰), Испания (-8.4‰), Португалия (-8.4‰) и Хърватска (-8.9‰).</w:t>
      </w:r>
    </w:p>
  </w:footnote>
  <w:footnote w:id="15">
    <w:p w:rsidR="00D20631" w:rsidRPr="00055947" w:rsidRDefault="00D20631" w:rsidP="00AE0F90">
      <w:pPr>
        <w:pStyle w:val="FootnoteText"/>
        <w:rPr>
          <w:rFonts w:ascii="Times New Roman" w:hAnsi="Times New Roman"/>
          <w:sz w:val="16"/>
          <w:szCs w:val="16"/>
        </w:rPr>
      </w:pPr>
      <w:r w:rsidRPr="00055947">
        <w:rPr>
          <w:rStyle w:val="FootnoteReference"/>
          <w:rFonts w:ascii="Times New Roman" w:hAnsi="Times New Roman"/>
          <w:sz w:val="16"/>
          <w:szCs w:val="16"/>
        </w:rPr>
        <w:footnoteRef/>
      </w:r>
      <w:r w:rsidRPr="00055947">
        <w:rPr>
          <w:rFonts w:ascii="Times New Roman" w:hAnsi="Times New Roman"/>
          <w:sz w:val="16"/>
          <w:szCs w:val="16"/>
        </w:rPr>
        <w:t xml:space="preserve"> </w:t>
      </w:r>
      <w:r w:rsidRPr="00055947">
        <w:rPr>
          <w:rFonts w:ascii="Times New Roman" w:hAnsi="Times New Roman"/>
          <w:sz w:val="16"/>
          <w:szCs w:val="16"/>
        </w:rPr>
        <w:t>През 2017 г.</w:t>
      </w:r>
    </w:p>
  </w:footnote>
  <w:footnote w:id="16">
    <w:p w:rsidR="00D20631" w:rsidRPr="00055947" w:rsidRDefault="00D20631" w:rsidP="00AE0F90">
      <w:pPr>
        <w:pStyle w:val="FootnoteText"/>
        <w:rPr>
          <w:rFonts w:ascii="Times New Roman" w:hAnsi="Times New Roman"/>
          <w:sz w:val="16"/>
          <w:szCs w:val="16"/>
        </w:rPr>
      </w:pPr>
      <w:r w:rsidRPr="00055947">
        <w:rPr>
          <w:rStyle w:val="FootnoteReference"/>
          <w:rFonts w:ascii="Times New Roman" w:hAnsi="Times New Roman"/>
          <w:sz w:val="16"/>
          <w:szCs w:val="16"/>
        </w:rPr>
        <w:footnoteRef/>
      </w:r>
      <w:r w:rsidRPr="00055947">
        <w:rPr>
          <w:rFonts w:ascii="Times New Roman" w:hAnsi="Times New Roman"/>
          <w:sz w:val="16"/>
          <w:szCs w:val="16"/>
        </w:rPr>
        <w:t xml:space="preserve"> </w:t>
      </w:r>
      <w:r w:rsidRPr="00055947">
        <w:rPr>
          <w:rFonts w:ascii="Times New Roman" w:hAnsi="Times New Roman"/>
          <w:sz w:val="16"/>
          <w:szCs w:val="16"/>
        </w:rPr>
        <w:t>Актуализирана национална стратегия за демографско развитие на населението в Република България (2012-2030 г.)</w:t>
      </w:r>
      <w:r>
        <w:rPr>
          <w:rFonts w:ascii="Times New Roman" w:hAnsi="Times New Roman"/>
          <w:sz w:val="16"/>
          <w:szCs w:val="16"/>
        </w:rPr>
        <w:t>.</w:t>
      </w:r>
    </w:p>
  </w:footnote>
  <w:footnote w:id="17">
    <w:p w:rsidR="00D20631" w:rsidRPr="00E86B30" w:rsidRDefault="00D20631" w:rsidP="00AE0F90">
      <w:pPr>
        <w:pStyle w:val="FootnoteText"/>
        <w:rPr>
          <w:rFonts w:ascii="Times New Roman" w:hAnsi="Times New Roman"/>
          <w:sz w:val="16"/>
          <w:szCs w:val="16"/>
        </w:rPr>
      </w:pPr>
      <w:r w:rsidRPr="00E86B30">
        <w:rPr>
          <w:rStyle w:val="FootnoteReference"/>
          <w:rFonts w:ascii="Times New Roman" w:hAnsi="Times New Roman"/>
          <w:sz w:val="16"/>
          <w:szCs w:val="16"/>
        </w:rPr>
        <w:footnoteRef/>
      </w:r>
      <w:r w:rsidRPr="00E86B30">
        <w:rPr>
          <w:rFonts w:ascii="Times New Roman" w:hAnsi="Times New Roman"/>
          <w:sz w:val="16"/>
          <w:szCs w:val="16"/>
        </w:rPr>
        <w:t xml:space="preserve"> </w:t>
      </w:r>
      <w:r w:rsidRPr="00E86B30">
        <w:rPr>
          <w:rFonts w:ascii="Times New Roman" w:hAnsi="Times New Roman"/>
          <w:sz w:val="16"/>
          <w:szCs w:val="16"/>
        </w:rPr>
        <w:t>Актуализирана национална стратегия за демографско развитие на населението в Република България (2012-2030 г.).</w:t>
      </w:r>
    </w:p>
  </w:footnote>
  <w:footnote w:id="18">
    <w:p w:rsidR="00D20631" w:rsidRPr="001A1614" w:rsidRDefault="00D20631" w:rsidP="00AE0F90">
      <w:pPr>
        <w:pStyle w:val="FootnoteText"/>
        <w:rPr>
          <w:rFonts w:ascii="Times New Roman" w:hAnsi="Times New Roman"/>
          <w:sz w:val="16"/>
          <w:szCs w:val="16"/>
        </w:rPr>
      </w:pPr>
      <w:r w:rsidRPr="001A1614">
        <w:rPr>
          <w:rStyle w:val="FootnoteReference"/>
          <w:rFonts w:ascii="Times New Roman" w:hAnsi="Times New Roman"/>
          <w:sz w:val="16"/>
          <w:szCs w:val="16"/>
        </w:rPr>
        <w:footnoteRef/>
      </w:r>
      <w:r w:rsidRPr="001A1614">
        <w:rPr>
          <w:rFonts w:ascii="Times New Roman" w:hAnsi="Times New Roman"/>
          <w:sz w:val="16"/>
          <w:szCs w:val="16"/>
        </w:rPr>
        <w:t xml:space="preserve"> </w:t>
      </w:r>
      <w:r w:rsidRPr="001A1614">
        <w:rPr>
          <w:rFonts w:ascii="Times New Roman" w:hAnsi="Times New Roman"/>
          <w:sz w:val="16"/>
          <w:szCs w:val="16"/>
        </w:rPr>
        <w:t>През 2016 г.</w:t>
      </w:r>
    </w:p>
  </w:footnote>
  <w:footnote w:id="19">
    <w:p w:rsidR="00D20631" w:rsidRPr="00055947" w:rsidRDefault="00D20631" w:rsidP="00AE0F90">
      <w:pPr>
        <w:pStyle w:val="FootnoteText"/>
        <w:rPr>
          <w:rFonts w:ascii="Times New Roman" w:hAnsi="Times New Roman"/>
          <w:sz w:val="16"/>
          <w:szCs w:val="16"/>
        </w:rPr>
      </w:pPr>
      <w:r w:rsidRPr="00055947">
        <w:rPr>
          <w:rStyle w:val="FootnoteReference"/>
          <w:rFonts w:ascii="Times New Roman" w:hAnsi="Times New Roman"/>
          <w:sz w:val="16"/>
          <w:szCs w:val="16"/>
        </w:rPr>
        <w:footnoteRef/>
      </w:r>
      <w:r w:rsidRPr="00055947">
        <w:rPr>
          <w:rFonts w:ascii="Times New Roman" w:hAnsi="Times New Roman"/>
          <w:sz w:val="16"/>
          <w:szCs w:val="16"/>
        </w:rPr>
        <w:t xml:space="preserve"> </w:t>
      </w:r>
      <w:r w:rsidRPr="00055947">
        <w:rPr>
          <w:rFonts w:ascii="Times New Roman" w:hAnsi="Times New Roman"/>
          <w:sz w:val="16"/>
          <w:szCs w:val="16"/>
        </w:rPr>
        <w:t>Над 65 години.</w:t>
      </w:r>
    </w:p>
  </w:footnote>
  <w:footnote w:id="20">
    <w:p w:rsidR="00D20631" w:rsidRPr="00055947" w:rsidRDefault="00D20631" w:rsidP="00AE0F90">
      <w:pPr>
        <w:pStyle w:val="FootnoteText"/>
        <w:rPr>
          <w:rFonts w:ascii="Times New Roman" w:hAnsi="Times New Roman"/>
          <w:sz w:val="16"/>
          <w:szCs w:val="16"/>
        </w:rPr>
      </w:pPr>
      <w:r w:rsidRPr="00055947">
        <w:rPr>
          <w:rStyle w:val="FootnoteReference"/>
          <w:rFonts w:ascii="Times New Roman" w:hAnsi="Times New Roman"/>
          <w:sz w:val="16"/>
          <w:szCs w:val="16"/>
        </w:rPr>
        <w:footnoteRef/>
      </w:r>
      <w:r w:rsidRPr="00055947">
        <w:rPr>
          <w:rFonts w:ascii="Times New Roman" w:hAnsi="Times New Roman"/>
          <w:sz w:val="16"/>
          <w:szCs w:val="16"/>
        </w:rPr>
        <w:t xml:space="preserve"> </w:t>
      </w:r>
      <w:r w:rsidRPr="00055947">
        <w:rPr>
          <w:rFonts w:ascii="Times New Roman" w:hAnsi="Times New Roman"/>
          <w:sz w:val="16"/>
          <w:szCs w:val="16"/>
        </w:rPr>
        <w:t>Съотношение на населението на възраст под 15 и над 65 години към населението в трудоспособна възраст между 15 и 64 години.</w:t>
      </w:r>
    </w:p>
  </w:footnote>
  <w:footnote w:id="21">
    <w:p w:rsidR="00D20631" w:rsidRPr="00055947" w:rsidRDefault="00D20631" w:rsidP="00AE0F90">
      <w:pPr>
        <w:pStyle w:val="FootnoteText"/>
        <w:rPr>
          <w:rFonts w:ascii="Times New Roman" w:hAnsi="Times New Roman"/>
          <w:sz w:val="16"/>
          <w:szCs w:val="16"/>
        </w:rPr>
      </w:pPr>
      <w:r w:rsidRPr="00055947">
        <w:rPr>
          <w:rStyle w:val="FootnoteReference"/>
          <w:rFonts w:ascii="Times New Roman" w:hAnsi="Times New Roman"/>
          <w:sz w:val="16"/>
          <w:szCs w:val="16"/>
        </w:rPr>
        <w:footnoteRef/>
      </w:r>
      <w:r w:rsidRPr="00055947">
        <w:rPr>
          <w:rFonts w:ascii="Times New Roman" w:hAnsi="Times New Roman"/>
          <w:sz w:val="16"/>
          <w:szCs w:val="16"/>
        </w:rPr>
        <w:t xml:space="preserve"> </w:t>
      </w:r>
      <w:r w:rsidRPr="00055947">
        <w:rPr>
          <w:rFonts w:ascii="Times New Roman" w:hAnsi="Times New Roman"/>
          <w:sz w:val="16"/>
          <w:szCs w:val="16"/>
        </w:rPr>
        <w:t>Население на 25-64 навършени години.</w:t>
      </w:r>
    </w:p>
  </w:footnote>
  <w:footnote w:id="22">
    <w:p w:rsidR="00D20631" w:rsidRPr="00F70070" w:rsidRDefault="00D20631">
      <w:pPr>
        <w:pStyle w:val="FootnoteText"/>
        <w:rPr>
          <w:rFonts w:ascii="Times New Roman" w:hAnsi="Times New Roman"/>
          <w:sz w:val="16"/>
          <w:szCs w:val="16"/>
          <w:lang w:val="en-US"/>
        </w:rPr>
      </w:pPr>
      <w:r w:rsidRPr="00F70070">
        <w:rPr>
          <w:rStyle w:val="FootnoteReference"/>
          <w:rFonts w:ascii="Times New Roman" w:hAnsi="Times New Roman"/>
          <w:sz w:val="16"/>
          <w:szCs w:val="16"/>
        </w:rPr>
        <w:footnoteRef/>
      </w:r>
      <w:r w:rsidRPr="00F70070">
        <w:rPr>
          <w:rFonts w:ascii="Times New Roman" w:hAnsi="Times New Roman"/>
          <w:sz w:val="16"/>
          <w:szCs w:val="16"/>
        </w:rPr>
        <w:t xml:space="preserve"> </w:t>
      </w:r>
      <w:proofErr w:type="spellStart"/>
      <w:r w:rsidRPr="00ED3E87">
        <w:rPr>
          <w:rFonts w:ascii="Times New Roman" w:hAnsi="Times New Roman"/>
          <w:sz w:val="16"/>
          <w:szCs w:val="16"/>
        </w:rPr>
        <w:t>Bulgaria’s</w:t>
      </w:r>
      <w:proofErr w:type="spellEnd"/>
      <w:r w:rsidRPr="00ED3E87">
        <w:rPr>
          <w:rFonts w:ascii="Times New Roman" w:hAnsi="Times New Roman"/>
          <w:sz w:val="16"/>
          <w:szCs w:val="16"/>
        </w:rPr>
        <w:t xml:space="preserve"> </w:t>
      </w:r>
      <w:proofErr w:type="spellStart"/>
      <w:r w:rsidRPr="00ED3E87">
        <w:rPr>
          <w:rFonts w:ascii="Times New Roman" w:hAnsi="Times New Roman"/>
          <w:sz w:val="16"/>
          <w:szCs w:val="16"/>
        </w:rPr>
        <w:t>potential</w:t>
      </w:r>
      <w:proofErr w:type="spellEnd"/>
      <w:r w:rsidRPr="00ED3E87">
        <w:rPr>
          <w:rFonts w:ascii="Times New Roman" w:hAnsi="Times New Roman"/>
          <w:sz w:val="16"/>
          <w:szCs w:val="16"/>
        </w:rPr>
        <w:t xml:space="preserve"> </w:t>
      </w:r>
      <w:proofErr w:type="spellStart"/>
      <w:r w:rsidRPr="00ED3E87">
        <w:rPr>
          <w:rFonts w:ascii="Times New Roman" w:hAnsi="Times New Roman"/>
          <w:sz w:val="16"/>
          <w:szCs w:val="16"/>
        </w:rPr>
        <w:t>for</w:t>
      </w:r>
      <w:proofErr w:type="spellEnd"/>
      <w:r w:rsidRPr="00ED3E87">
        <w:rPr>
          <w:rFonts w:ascii="Times New Roman" w:hAnsi="Times New Roman"/>
          <w:sz w:val="16"/>
          <w:szCs w:val="16"/>
        </w:rPr>
        <w:t xml:space="preserve"> </w:t>
      </w:r>
      <w:proofErr w:type="spellStart"/>
      <w:r w:rsidRPr="00ED3E87">
        <w:rPr>
          <w:rFonts w:ascii="Times New Roman" w:hAnsi="Times New Roman"/>
          <w:sz w:val="16"/>
          <w:szCs w:val="16"/>
        </w:rPr>
        <w:t>sustainable</w:t>
      </w:r>
      <w:proofErr w:type="spellEnd"/>
      <w:r w:rsidRPr="00ED3E87">
        <w:rPr>
          <w:rFonts w:ascii="Times New Roman" w:hAnsi="Times New Roman"/>
          <w:sz w:val="16"/>
          <w:szCs w:val="16"/>
        </w:rPr>
        <w:t xml:space="preserve"> </w:t>
      </w:r>
      <w:proofErr w:type="spellStart"/>
      <w:r w:rsidRPr="00ED3E87">
        <w:rPr>
          <w:rFonts w:ascii="Times New Roman" w:hAnsi="Times New Roman"/>
          <w:sz w:val="16"/>
          <w:szCs w:val="16"/>
        </w:rPr>
        <w:t>growth</w:t>
      </w:r>
      <w:proofErr w:type="spellEnd"/>
      <w:r w:rsidRPr="00ED3E87">
        <w:rPr>
          <w:rFonts w:ascii="Times New Roman" w:hAnsi="Times New Roman"/>
          <w:sz w:val="16"/>
          <w:szCs w:val="16"/>
        </w:rPr>
        <w:t xml:space="preserve"> </w:t>
      </w:r>
      <w:proofErr w:type="spellStart"/>
      <w:r w:rsidRPr="00ED3E87">
        <w:rPr>
          <w:rFonts w:ascii="Times New Roman" w:hAnsi="Times New Roman"/>
          <w:sz w:val="16"/>
          <w:szCs w:val="16"/>
        </w:rPr>
        <w:t>and</w:t>
      </w:r>
      <w:proofErr w:type="spellEnd"/>
      <w:r w:rsidRPr="00ED3E87">
        <w:rPr>
          <w:rFonts w:ascii="Times New Roman" w:hAnsi="Times New Roman"/>
          <w:sz w:val="16"/>
          <w:szCs w:val="16"/>
        </w:rPr>
        <w:t xml:space="preserve"> </w:t>
      </w:r>
      <w:proofErr w:type="spellStart"/>
      <w:r w:rsidRPr="00ED3E87">
        <w:rPr>
          <w:rFonts w:ascii="Times New Roman" w:hAnsi="Times New Roman"/>
          <w:sz w:val="16"/>
          <w:szCs w:val="16"/>
        </w:rPr>
        <w:t>shared</w:t>
      </w:r>
      <w:proofErr w:type="spellEnd"/>
      <w:r w:rsidRPr="00ED3E87">
        <w:rPr>
          <w:rFonts w:ascii="Times New Roman" w:hAnsi="Times New Roman"/>
          <w:sz w:val="16"/>
          <w:szCs w:val="16"/>
        </w:rPr>
        <w:t xml:space="preserve"> </w:t>
      </w:r>
      <w:proofErr w:type="spellStart"/>
      <w:r w:rsidRPr="00ED3E87">
        <w:rPr>
          <w:rFonts w:ascii="Times New Roman" w:hAnsi="Times New Roman"/>
          <w:sz w:val="16"/>
          <w:szCs w:val="16"/>
        </w:rPr>
        <w:t>prosperity</w:t>
      </w:r>
      <w:proofErr w:type="spellEnd"/>
      <w:r w:rsidRPr="00ED3E87">
        <w:rPr>
          <w:rFonts w:ascii="Times New Roman" w:hAnsi="Times New Roman"/>
          <w:sz w:val="16"/>
          <w:szCs w:val="16"/>
        </w:rPr>
        <w:t xml:space="preserve">: </w:t>
      </w:r>
      <w:proofErr w:type="spellStart"/>
      <w:r w:rsidRPr="00ED3E87">
        <w:rPr>
          <w:rFonts w:ascii="Times New Roman" w:hAnsi="Times New Roman"/>
          <w:sz w:val="16"/>
          <w:szCs w:val="16"/>
        </w:rPr>
        <w:t>systematic</w:t>
      </w:r>
      <w:proofErr w:type="spellEnd"/>
      <w:r w:rsidRPr="00ED3E87">
        <w:rPr>
          <w:rFonts w:ascii="Times New Roman" w:hAnsi="Times New Roman"/>
          <w:sz w:val="16"/>
          <w:szCs w:val="16"/>
        </w:rPr>
        <w:t xml:space="preserve"> </w:t>
      </w:r>
      <w:proofErr w:type="spellStart"/>
      <w:r w:rsidRPr="00ED3E87">
        <w:rPr>
          <w:rFonts w:ascii="Times New Roman" w:hAnsi="Times New Roman"/>
          <w:sz w:val="16"/>
          <w:szCs w:val="16"/>
        </w:rPr>
        <w:t>country</w:t>
      </w:r>
      <w:proofErr w:type="spellEnd"/>
      <w:r w:rsidRPr="00ED3E87">
        <w:rPr>
          <w:rFonts w:ascii="Times New Roman" w:hAnsi="Times New Roman"/>
          <w:sz w:val="16"/>
          <w:szCs w:val="16"/>
        </w:rPr>
        <w:t xml:space="preserve"> </w:t>
      </w:r>
      <w:proofErr w:type="spellStart"/>
      <w:r w:rsidRPr="00ED3E87">
        <w:rPr>
          <w:rFonts w:ascii="Times New Roman" w:hAnsi="Times New Roman"/>
          <w:sz w:val="16"/>
          <w:szCs w:val="16"/>
        </w:rPr>
        <w:t>diagnostic</w:t>
      </w:r>
      <w:proofErr w:type="spellEnd"/>
      <w:r w:rsidRPr="00ED3E87">
        <w:rPr>
          <w:rFonts w:ascii="Times New Roman" w:hAnsi="Times New Roman"/>
          <w:sz w:val="16"/>
          <w:szCs w:val="16"/>
        </w:rPr>
        <w:t>, WB, 2015</w:t>
      </w:r>
      <w:r>
        <w:rPr>
          <w:rFonts w:ascii="Times New Roman" w:hAnsi="Times New Roman"/>
          <w:sz w:val="16"/>
          <w:szCs w:val="16"/>
          <w:lang w:val="en-US"/>
        </w:rPr>
        <w:t>.</w:t>
      </w:r>
    </w:p>
  </w:footnote>
  <w:footnote w:id="23">
    <w:p w:rsidR="00D20631" w:rsidRPr="00F70070" w:rsidRDefault="00D20631">
      <w:pPr>
        <w:pStyle w:val="FootnoteText"/>
        <w:rPr>
          <w:rFonts w:ascii="Times New Roman" w:hAnsi="Times New Roman"/>
          <w:sz w:val="16"/>
          <w:szCs w:val="16"/>
          <w:lang w:val="en-US"/>
        </w:rPr>
      </w:pPr>
      <w:r w:rsidRPr="00F70070">
        <w:rPr>
          <w:rStyle w:val="FootnoteReference"/>
          <w:rFonts w:ascii="Times New Roman" w:hAnsi="Times New Roman"/>
          <w:sz w:val="16"/>
          <w:szCs w:val="16"/>
        </w:rPr>
        <w:footnoteRef/>
      </w:r>
      <w:r w:rsidRPr="00F70070">
        <w:rPr>
          <w:rFonts w:ascii="Times New Roman" w:hAnsi="Times New Roman"/>
          <w:sz w:val="16"/>
          <w:szCs w:val="16"/>
        </w:rPr>
        <w:t xml:space="preserve"> </w:t>
      </w:r>
      <w:r>
        <w:rPr>
          <w:rFonts w:ascii="Times New Roman" w:hAnsi="Times New Roman"/>
          <w:sz w:val="16"/>
          <w:szCs w:val="16"/>
        </w:rPr>
        <w:t>Следва да се отбележи, че резултатите от последното изследване (2015 г.) не са напълно сравними с предходните резултати, доколкото касаят различна възрастова група.</w:t>
      </w:r>
    </w:p>
  </w:footnote>
  <w:footnote w:id="24">
    <w:p w:rsidR="00D20631" w:rsidRPr="00A63AF3" w:rsidRDefault="00D20631" w:rsidP="00AE0F90">
      <w:pPr>
        <w:pStyle w:val="FootnoteText"/>
        <w:rPr>
          <w:rFonts w:ascii="Times New Roman" w:hAnsi="Times New Roman"/>
          <w:sz w:val="16"/>
          <w:szCs w:val="16"/>
        </w:rPr>
      </w:pPr>
      <w:r w:rsidRPr="00A63AF3">
        <w:rPr>
          <w:rStyle w:val="FootnoteReference"/>
          <w:rFonts w:ascii="Times New Roman" w:hAnsi="Times New Roman"/>
          <w:sz w:val="16"/>
          <w:szCs w:val="16"/>
        </w:rPr>
        <w:footnoteRef/>
      </w:r>
      <w:r w:rsidRPr="00A63AF3">
        <w:rPr>
          <w:rFonts w:ascii="Times New Roman" w:hAnsi="Times New Roman"/>
          <w:sz w:val="16"/>
          <w:szCs w:val="16"/>
        </w:rPr>
        <w:t xml:space="preserve"> </w:t>
      </w:r>
      <w:r w:rsidRPr="00A63AF3">
        <w:rPr>
          <w:rFonts w:ascii="Times New Roman" w:hAnsi="Times New Roman"/>
          <w:sz w:val="16"/>
          <w:szCs w:val="16"/>
        </w:rPr>
        <w:t>Данните са за 2016 г.</w:t>
      </w:r>
    </w:p>
  </w:footnote>
  <w:footnote w:id="25">
    <w:p w:rsidR="00D20631" w:rsidRPr="00F815F5" w:rsidRDefault="00D20631" w:rsidP="00AE0F90">
      <w:pPr>
        <w:pStyle w:val="FootnoteText"/>
        <w:rPr>
          <w:rFonts w:ascii="Times New Roman" w:hAnsi="Times New Roman"/>
          <w:sz w:val="16"/>
          <w:szCs w:val="16"/>
        </w:rPr>
      </w:pPr>
      <w:r w:rsidRPr="00C70BD1">
        <w:rPr>
          <w:rStyle w:val="FootnoteReference"/>
          <w:rFonts w:ascii="Times New Roman" w:hAnsi="Times New Roman"/>
          <w:sz w:val="16"/>
          <w:szCs w:val="16"/>
        </w:rPr>
        <w:footnoteRef/>
      </w:r>
      <w:r w:rsidRPr="00C70BD1">
        <w:rPr>
          <w:rFonts w:ascii="Times New Roman" w:hAnsi="Times New Roman"/>
          <w:sz w:val="16"/>
          <w:szCs w:val="16"/>
        </w:rPr>
        <w:t xml:space="preserve"> </w:t>
      </w:r>
      <w:r w:rsidRPr="00C70BD1">
        <w:rPr>
          <w:rFonts w:ascii="Times New Roman" w:hAnsi="Times New Roman"/>
          <w:sz w:val="16"/>
          <w:szCs w:val="16"/>
        </w:rPr>
        <w:t>Образователната система на Сингапур често е сочена от изследователите като еталон</w:t>
      </w:r>
      <w:r>
        <w:rPr>
          <w:rFonts w:ascii="Times New Roman" w:hAnsi="Times New Roman"/>
          <w:sz w:val="16"/>
          <w:szCs w:val="16"/>
        </w:rPr>
        <w:t>;</w:t>
      </w:r>
      <w:r w:rsidRPr="00C70BD1">
        <w:rPr>
          <w:rFonts w:ascii="Times New Roman" w:hAnsi="Times New Roman"/>
          <w:sz w:val="16"/>
          <w:szCs w:val="16"/>
        </w:rPr>
        <w:t xml:space="preserve"> </w:t>
      </w:r>
      <w:r>
        <w:rPr>
          <w:rFonts w:ascii="Times New Roman" w:hAnsi="Times New Roman"/>
          <w:sz w:val="16"/>
          <w:szCs w:val="16"/>
        </w:rPr>
        <w:t xml:space="preserve">учениците от тази страна оглавяват класациите </w:t>
      </w:r>
      <w:r w:rsidRPr="00F72BC8">
        <w:rPr>
          <w:rFonts w:ascii="Times New Roman" w:hAnsi="Times New Roman"/>
          <w:i/>
          <w:sz w:val="16"/>
          <w:szCs w:val="16"/>
          <w:lang w:val="en-US"/>
        </w:rPr>
        <w:t>PISA</w:t>
      </w:r>
      <w:r>
        <w:rPr>
          <w:rFonts w:ascii="Times New Roman" w:hAnsi="Times New Roman"/>
          <w:sz w:val="16"/>
          <w:szCs w:val="16"/>
          <w:lang w:val="en-US"/>
        </w:rPr>
        <w:t xml:space="preserve">, </w:t>
      </w:r>
      <w:r w:rsidRPr="00F72BC8">
        <w:rPr>
          <w:rFonts w:ascii="Times New Roman" w:hAnsi="Times New Roman"/>
          <w:i/>
          <w:sz w:val="16"/>
          <w:szCs w:val="16"/>
          <w:lang w:val="en-US"/>
        </w:rPr>
        <w:t>PIRLS</w:t>
      </w:r>
      <w:r>
        <w:rPr>
          <w:rFonts w:ascii="Times New Roman" w:hAnsi="Times New Roman"/>
          <w:sz w:val="16"/>
          <w:szCs w:val="16"/>
          <w:lang w:val="en-US"/>
        </w:rPr>
        <w:t xml:space="preserve">, </w:t>
      </w:r>
      <w:r w:rsidRPr="00F72BC8">
        <w:rPr>
          <w:rFonts w:ascii="Times New Roman" w:hAnsi="Times New Roman"/>
          <w:i/>
          <w:sz w:val="16"/>
          <w:szCs w:val="16"/>
          <w:lang w:val="en-US"/>
        </w:rPr>
        <w:t>TIMSS</w:t>
      </w:r>
      <w:r>
        <w:rPr>
          <w:rFonts w:ascii="Times New Roman" w:hAnsi="Times New Roman"/>
          <w:sz w:val="16"/>
          <w:szCs w:val="16"/>
        </w:rPr>
        <w:t xml:space="preserve"> и др.</w:t>
      </w:r>
    </w:p>
  </w:footnote>
  <w:footnote w:id="26">
    <w:p w:rsidR="00D20631" w:rsidRPr="00952F73" w:rsidRDefault="00D20631" w:rsidP="00AE0F90">
      <w:pPr>
        <w:pStyle w:val="FootnoteText"/>
        <w:rPr>
          <w:rFonts w:ascii="Times New Roman" w:hAnsi="Times New Roman"/>
          <w:sz w:val="16"/>
          <w:szCs w:val="16"/>
        </w:rPr>
      </w:pPr>
      <w:r w:rsidRPr="00952F73">
        <w:rPr>
          <w:rStyle w:val="FootnoteReference"/>
          <w:rFonts w:ascii="Times New Roman" w:hAnsi="Times New Roman"/>
          <w:sz w:val="16"/>
          <w:szCs w:val="16"/>
        </w:rPr>
        <w:footnoteRef/>
      </w:r>
      <w:r w:rsidRPr="00952F73">
        <w:rPr>
          <w:rFonts w:ascii="Times New Roman" w:hAnsi="Times New Roman"/>
          <w:sz w:val="16"/>
          <w:szCs w:val="16"/>
        </w:rPr>
        <w:t xml:space="preserve"> </w:t>
      </w:r>
      <w:r w:rsidRPr="00952F73">
        <w:rPr>
          <w:rFonts w:ascii="Times New Roman" w:hAnsi="Times New Roman"/>
          <w:sz w:val="16"/>
          <w:szCs w:val="16"/>
        </w:rPr>
        <w:t>Доклад за България за 201</w:t>
      </w:r>
      <w:r>
        <w:rPr>
          <w:rFonts w:ascii="Times New Roman" w:hAnsi="Times New Roman"/>
          <w:sz w:val="16"/>
          <w:szCs w:val="16"/>
        </w:rPr>
        <w:t>8</w:t>
      </w:r>
      <w:r w:rsidRPr="00952F73">
        <w:rPr>
          <w:rFonts w:ascii="Times New Roman" w:hAnsi="Times New Roman"/>
          <w:sz w:val="16"/>
          <w:szCs w:val="16"/>
        </w:rPr>
        <w:t xml:space="preserve"> г., включващ задълбочен преглед относно предотвратяването и коригирането на макроикономическите дисбаланси, ЕК</w:t>
      </w:r>
      <w:r>
        <w:rPr>
          <w:rFonts w:ascii="Times New Roman" w:hAnsi="Times New Roman"/>
          <w:sz w:val="16"/>
          <w:szCs w:val="16"/>
        </w:rPr>
        <w:t>.</w:t>
      </w:r>
    </w:p>
  </w:footnote>
  <w:footnote w:id="27">
    <w:p w:rsidR="00D20631" w:rsidRPr="00C66446" w:rsidRDefault="00D20631" w:rsidP="00AE0F90">
      <w:pPr>
        <w:pStyle w:val="FootnoteText"/>
        <w:rPr>
          <w:rFonts w:ascii="Times New Roman" w:hAnsi="Times New Roman"/>
          <w:sz w:val="16"/>
          <w:szCs w:val="16"/>
        </w:rPr>
      </w:pPr>
      <w:r w:rsidRPr="00C66446">
        <w:rPr>
          <w:rStyle w:val="FootnoteReference"/>
          <w:rFonts w:ascii="Times New Roman" w:hAnsi="Times New Roman"/>
          <w:sz w:val="16"/>
          <w:szCs w:val="16"/>
        </w:rPr>
        <w:footnoteRef/>
      </w:r>
      <w:r w:rsidRPr="00C66446">
        <w:rPr>
          <w:rFonts w:ascii="Times New Roman" w:hAnsi="Times New Roman"/>
          <w:sz w:val="16"/>
          <w:szCs w:val="16"/>
        </w:rPr>
        <w:t xml:space="preserve"> </w:t>
      </w:r>
      <w:r w:rsidRPr="00C66446">
        <w:rPr>
          <w:rFonts w:ascii="Times New Roman" w:hAnsi="Times New Roman"/>
          <w:sz w:val="16"/>
          <w:szCs w:val="16"/>
        </w:rPr>
        <w:t xml:space="preserve">През учебната 2017/2018 г. в </w:t>
      </w:r>
      <w:proofErr w:type="spellStart"/>
      <w:r w:rsidRPr="00C66446">
        <w:rPr>
          <w:rFonts w:ascii="Times New Roman" w:hAnsi="Times New Roman"/>
          <w:sz w:val="16"/>
          <w:szCs w:val="16"/>
        </w:rPr>
        <w:t>дуална</w:t>
      </w:r>
      <w:proofErr w:type="spellEnd"/>
      <w:r w:rsidRPr="00C66446">
        <w:rPr>
          <w:rFonts w:ascii="Times New Roman" w:hAnsi="Times New Roman"/>
          <w:sz w:val="16"/>
          <w:szCs w:val="16"/>
        </w:rPr>
        <w:t xml:space="preserve"> система на обучение са включени 1 742 ученика в 79 паралелки в 45 професионални училища.</w:t>
      </w:r>
    </w:p>
  </w:footnote>
  <w:footnote w:id="28">
    <w:p w:rsidR="00D20631" w:rsidRPr="00FC7C2F" w:rsidRDefault="00D20631" w:rsidP="00AE0F90">
      <w:pPr>
        <w:pStyle w:val="FootnoteText"/>
        <w:rPr>
          <w:rFonts w:ascii="Times New Roman" w:hAnsi="Times New Roman"/>
          <w:sz w:val="16"/>
          <w:szCs w:val="16"/>
        </w:rPr>
      </w:pPr>
      <w:r w:rsidRPr="00FC7C2F">
        <w:rPr>
          <w:rStyle w:val="FootnoteReference"/>
          <w:rFonts w:ascii="Times New Roman" w:hAnsi="Times New Roman"/>
          <w:sz w:val="16"/>
          <w:szCs w:val="16"/>
        </w:rPr>
        <w:footnoteRef/>
      </w:r>
      <w:r w:rsidRPr="00FC7C2F">
        <w:rPr>
          <w:rFonts w:ascii="Times New Roman" w:hAnsi="Times New Roman"/>
          <w:sz w:val="16"/>
          <w:szCs w:val="16"/>
        </w:rPr>
        <w:t xml:space="preserve"> </w:t>
      </w:r>
      <w:r w:rsidRPr="00FC7C2F">
        <w:rPr>
          <w:rFonts w:ascii="Times New Roman" w:hAnsi="Times New Roman"/>
          <w:sz w:val="16"/>
          <w:szCs w:val="16"/>
        </w:rPr>
        <w:t>В последните години</w:t>
      </w:r>
      <w:r>
        <w:rPr>
          <w:rFonts w:ascii="Times New Roman" w:hAnsi="Times New Roman"/>
          <w:sz w:val="16"/>
          <w:szCs w:val="16"/>
        </w:rPr>
        <w:t xml:space="preserve"> обявените свободни бройки за прием на студенти надвишават броя на кандидат-студентите.</w:t>
      </w:r>
    </w:p>
  </w:footnote>
  <w:footnote w:id="29">
    <w:p w:rsidR="00D20631" w:rsidRPr="00E07E67" w:rsidRDefault="00D20631">
      <w:pPr>
        <w:pStyle w:val="FootnoteText"/>
        <w:rPr>
          <w:rFonts w:ascii="Times New Roman" w:hAnsi="Times New Roman"/>
          <w:sz w:val="16"/>
          <w:szCs w:val="16"/>
          <w:lang w:val="en-US"/>
        </w:rPr>
      </w:pPr>
      <w:r w:rsidRPr="00E07E67">
        <w:rPr>
          <w:rStyle w:val="FootnoteReference"/>
          <w:rFonts w:ascii="Times New Roman" w:hAnsi="Times New Roman"/>
          <w:sz w:val="16"/>
          <w:szCs w:val="16"/>
        </w:rPr>
        <w:footnoteRef/>
      </w:r>
      <w:r w:rsidRPr="00E07E67">
        <w:rPr>
          <w:rFonts w:ascii="Times New Roman" w:hAnsi="Times New Roman"/>
          <w:sz w:val="16"/>
          <w:szCs w:val="16"/>
        </w:rPr>
        <w:t xml:space="preserve"> </w:t>
      </w:r>
      <w:r>
        <w:rPr>
          <w:rFonts w:ascii="Times New Roman" w:hAnsi="Times New Roman"/>
          <w:sz w:val="16"/>
          <w:szCs w:val="16"/>
        </w:rPr>
        <w:t xml:space="preserve">Осреднени данни от Рейтинговата система на висшите училища в </w:t>
      </w:r>
      <w:proofErr w:type="spellStart"/>
      <w:r>
        <w:rPr>
          <w:rFonts w:ascii="Times New Roman" w:hAnsi="Times New Roman"/>
          <w:sz w:val="16"/>
          <w:szCs w:val="16"/>
        </w:rPr>
        <w:t>Репулика</w:t>
      </w:r>
      <w:proofErr w:type="spellEnd"/>
      <w:r>
        <w:rPr>
          <w:rFonts w:ascii="Times New Roman" w:hAnsi="Times New Roman"/>
          <w:sz w:val="16"/>
          <w:szCs w:val="16"/>
        </w:rPr>
        <w:t xml:space="preserve"> България за приложение на придобито висше образование по професионални направления.</w:t>
      </w:r>
    </w:p>
  </w:footnote>
  <w:footnote w:id="30">
    <w:p w:rsidR="00D20631" w:rsidRPr="009D24D7" w:rsidRDefault="00D20631" w:rsidP="00AE0F90">
      <w:pPr>
        <w:pStyle w:val="FootnoteText"/>
        <w:rPr>
          <w:rFonts w:ascii="Times New Roman" w:hAnsi="Times New Roman"/>
          <w:sz w:val="16"/>
          <w:szCs w:val="16"/>
        </w:rPr>
      </w:pPr>
      <w:r w:rsidRPr="009D24D7">
        <w:rPr>
          <w:rStyle w:val="FootnoteReference"/>
          <w:rFonts w:ascii="Times New Roman" w:hAnsi="Times New Roman"/>
          <w:sz w:val="16"/>
          <w:szCs w:val="16"/>
        </w:rPr>
        <w:footnoteRef/>
      </w:r>
      <w:r w:rsidRPr="009D24D7">
        <w:rPr>
          <w:rFonts w:ascii="Times New Roman" w:hAnsi="Times New Roman"/>
          <w:sz w:val="16"/>
          <w:szCs w:val="16"/>
        </w:rPr>
        <w:t xml:space="preserve"> </w:t>
      </w:r>
      <w:r w:rsidRPr="009D24D7">
        <w:rPr>
          <w:rFonts w:ascii="Times New Roman" w:hAnsi="Times New Roman"/>
          <w:sz w:val="16"/>
          <w:szCs w:val="16"/>
        </w:rPr>
        <w:t>През 2016 г.</w:t>
      </w:r>
    </w:p>
  </w:footnote>
  <w:footnote w:id="31">
    <w:p w:rsidR="00D20631" w:rsidRPr="00F31F86" w:rsidRDefault="00D20631" w:rsidP="00AE0F90">
      <w:pPr>
        <w:pStyle w:val="FootnoteText"/>
        <w:rPr>
          <w:rFonts w:ascii="Times New Roman" w:hAnsi="Times New Roman"/>
          <w:sz w:val="16"/>
          <w:szCs w:val="16"/>
        </w:rPr>
      </w:pPr>
      <w:r w:rsidRPr="00F31F86">
        <w:rPr>
          <w:rStyle w:val="FootnoteReference"/>
          <w:rFonts w:ascii="Times New Roman" w:hAnsi="Times New Roman"/>
          <w:sz w:val="16"/>
          <w:szCs w:val="16"/>
        </w:rPr>
        <w:footnoteRef/>
      </w:r>
      <w:r w:rsidRPr="00F31F86">
        <w:rPr>
          <w:rFonts w:ascii="Times New Roman" w:hAnsi="Times New Roman"/>
          <w:sz w:val="16"/>
          <w:szCs w:val="16"/>
        </w:rPr>
        <w:t xml:space="preserve"> </w:t>
      </w:r>
      <w:r w:rsidRPr="00F31F86">
        <w:rPr>
          <w:rFonts w:ascii="Times New Roman" w:hAnsi="Times New Roman"/>
          <w:sz w:val="16"/>
          <w:szCs w:val="16"/>
        </w:rPr>
        <w:t>Население на 18-64 години.</w:t>
      </w:r>
    </w:p>
  </w:footnote>
  <w:footnote w:id="32">
    <w:p w:rsidR="00D20631" w:rsidRPr="00E005B7" w:rsidRDefault="00D20631" w:rsidP="00AE0F90">
      <w:pPr>
        <w:pStyle w:val="FootnoteText"/>
        <w:rPr>
          <w:rFonts w:ascii="Times New Roman" w:hAnsi="Times New Roman"/>
          <w:sz w:val="16"/>
          <w:szCs w:val="16"/>
        </w:rPr>
      </w:pPr>
      <w:r w:rsidRPr="00E005B7">
        <w:rPr>
          <w:rStyle w:val="FootnoteReference"/>
          <w:rFonts w:ascii="Times New Roman" w:hAnsi="Times New Roman"/>
          <w:sz w:val="16"/>
          <w:szCs w:val="16"/>
        </w:rPr>
        <w:footnoteRef/>
      </w:r>
      <w:r w:rsidRPr="00E005B7">
        <w:rPr>
          <w:rFonts w:ascii="Times New Roman" w:hAnsi="Times New Roman"/>
          <w:sz w:val="16"/>
          <w:szCs w:val="16"/>
        </w:rPr>
        <w:t xml:space="preserve"> </w:t>
      </w:r>
      <w:proofErr w:type="spellStart"/>
      <w:r w:rsidRPr="00E005B7">
        <w:rPr>
          <w:rFonts w:ascii="Times New Roman" w:hAnsi="Times New Roman"/>
          <w:sz w:val="16"/>
          <w:szCs w:val="16"/>
        </w:rPr>
        <w:t>McLeod</w:t>
      </w:r>
      <w:proofErr w:type="spellEnd"/>
      <w:r w:rsidRPr="00E005B7">
        <w:rPr>
          <w:rFonts w:ascii="Times New Roman" w:hAnsi="Times New Roman"/>
          <w:sz w:val="16"/>
          <w:szCs w:val="16"/>
        </w:rPr>
        <w:t xml:space="preserve">, </w:t>
      </w:r>
      <w:proofErr w:type="spellStart"/>
      <w:r w:rsidRPr="00E005B7">
        <w:rPr>
          <w:rFonts w:ascii="Times New Roman" w:hAnsi="Times New Roman"/>
          <w:sz w:val="16"/>
          <w:szCs w:val="16"/>
        </w:rPr>
        <w:t>Scott</w:t>
      </w:r>
      <w:proofErr w:type="spellEnd"/>
      <w:r w:rsidRPr="00E005B7">
        <w:rPr>
          <w:rFonts w:ascii="Times New Roman" w:hAnsi="Times New Roman"/>
          <w:sz w:val="16"/>
          <w:szCs w:val="16"/>
        </w:rPr>
        <w:t xml:space="preserve"> </w:t>
      </w:r>
      <w:proofErr w:type="spellStart"/>
      <w:r w:rsidRPr="00E005B7">
        <w:rPr>
          <w:rFonts w:ascii="Times New Roman" w:hAnsi="Times New Roman"/>
          <w:sz w:val="16"/>
          <w:szCs w:val="16"/>
        </w:rPr>
        <w:t>and</w:t>
      </w:r>
      <w:proofErr w:type="spellEnd"/>
      <w:r w:rsidRPr="00E005B7">
        <w:rPr>
          <w:rFonts w:ascii="Times New Roman" w:hAnsi="Times New Roman"/>
          <w:sz w:val="16"/>
          <w:szCs w:val="16"/>
        </w:rPr>
        <w:t xml:space="preserve"> </w:t>
      </w:r>
      <w:proofErr w:type="spellStart"/>
      <w:r w:rsidRPr="00E005B7">
        <w:rPr>
          <w:rFonts w:ascii="Times New Roman" w:hAnsi="Times New Roman"/>
          <w:sz w:val="16"/>
          <w:szCs w:val="16"/>
        </w:rPr>
        <w:t>Karl</w:t>
      </w:r>
      <w:proofErr w:type="spellEnd"/>
      <w:r w:rsidRPr="00E005B7">
        <w:rPr>
          <w:rFonts w:ascii="Times New Roman" w:hAnsi="Times New Roman"/>
          <w:sz w:val="16"/>
          <w:szCs w:val="16"/>
        </w:rPr>
        <w:t xml:space="preserve"> </w:t>
      </w:r>
      <w:proofErr w:type="spellStart"/>
      <w:r w:rsidRPr="00E005B7">
        <w:rPr>
          <w:rFonts w:ascii="Times New Roman" w:hAnsi="Times New Roman"/>
          <w:sz w:val="16"/>
          <w:szCs w:val="16"/>
        </w:rPr>
        <w:t>Fisch</w:t>
      </w:r>
      <w:proofErr w:type="spellEnd"/>
      <w:r w:rsidRPr="00E005B7">
        <w:rPr>
          <w:rFonts w:ascii="Times New Roman" w:hAnsi="Times New Roman"/>
          <w:sz w:val="16"/>
          <w:szCs w:val="16"/>
        </w:rPr>
        <w:t>, “</w:t>
      </w:r>
      <w:proofErr w:type="spellStart"/>
      <w:r w:rsidRPr="00E24C13">
        <w:rPr>
          <w:rFonts w:ascii="Times New Roman" w:hAnsi="Times New Roman"/>
          <w:i/>
          <w:sz w:val="16"/>
          <w:szCs w:val="16"/>
        </w:rPr>
        <w:t>Shift</w:t>
      </w:r>
      <w:proofErr w:type="spellEnd"/>
      <w:r w:rsidRPr="00E24C13">
        <w:rPr>
          <w:rFonts w:ascii="Times New Roman" w:hAnsi="Times New Roman"/>
          <w:i/>
          <w:sz w:val="16"/>
          <w:szCs w:val="16"/>
        </w:rPr>
        <w:t xml:space="preserve"> </w:t>
      </w:r>
      <w:proofErr w:type="spellStart"/>
      <w:r w:rsidRPr="00E24C13">
        <w:rPr>
          <w:rFonts w:ascii="Times New Roman" w:hAnsi="Times New Roman"/>
          <w:i/>
          <w:sz w:val="16"/>
          <w:szCs w:val="16"/>
        </w:rPr>
        <w:t>Happens</w:t>
      </w:r>
      <w:proofErr w:type="spellEnd"/>
      <w:r w:rsidRPr="00E005B7">
        <w:rPr>
          <w:rFonts w:ascii="Times New Roman" w:hAnsi="Times New Roman"/>
          <w:sz w:val="16"/>
          <w:szCs w:val="16"/>
        </w:rPr>
        <w:t>”</w:t>
      </w:r>
      <w:r>
        <w:rPr>
          <w:rFonts w:ascii="Times New Roman" w:hAnsi="Times New Roman"/>
          <w:sz w:val="16"/>
          <w:szCs w:val="16"/>
        </w:rPr>
        <w:t>.</w:t>
      </w:r>
    </w:p>
  </w:footnote>
  <w:footnote w:id="33">
    <w:p w:rsidR="00D20631" w:rsidRPr="00A110E0" w:rsidRDefault="00D20631" w:rsidP="00AE0F90">
      <w:pPr>
        <w:pStyle w:val="FootnoteText"/>
        <w:rPr>
          <w:rFonts w:ascii="Times New Roman" w:hAnsi="Times New Roman"/>
          <w:sz w:val="16"/>
          <w:szCs w:val="16"/>
        </w:rPr>
      </w:pPr>
      <w:r w:rsidRPr="005E0137">
        <w:rPr>
          <w:rStyle w:val="FootnoteReference"/>
          <w:rFonts w:ascii="Times New Roman" w:hAnsi="Times New Roman"/>
          <w:sz w:val="16"/>
          <w:szCs w:val="16"/>
        </w:rPr>
        <w:footnoteRef/>
      </w:r>
      <w:r w:rsidRPr="005E0137">
        <w:rPr>
          <w:rFonts w:ascii="Times New Roman" w:hAnsi="Times New Roman"/>
          <w:sz w:val="16"/>
          <w:szCs w:val="16"/>
        </w:rPr>
        <w:t xml:space="preserve"> </w:t>
      </w:r>
      <w:r w:rsidRPr="005E0137">
        <w:rPr>
          <w:rFonts w:ascii="Times New Roman" w:hAnsi="Times New Roman"/>
          <w:sz w:val="16"/>
          <w:szCs w:val="16"/>
        </w:rPr>
        <w:t xml:space="preserve">Здравен профил за България 2017, </w:t>
      </w:r>
      <w:r w:rsidRPr="005E0137">
        <w:rPr>
          <w:rFonts w:ascii="Times New Roman" w:hAnsi="Times New Roman"/>
          <w:sz w:val="16"/>
          <w:szCs w:val="16"/>
          <w:lang w:val="en-US"/>
        </w:rPr>
        <w:t>State of Health in the EU</w:t>
      </w:r>
      <w:r>
        <w:rPr>
          <w:rFonts w:ascii="Times New Roman" w:hAnsi="Times New Roman"/>
          <w:sz w:val="16"/>
          <w:szCs w:val="16"/>
        </w:rPr>
        <w:t>.</w:t>
      </w:r>
    </w:p>
  </w:footnote>
  <w:footnote w:id="34">
    <w:p w:rsidR="00D20631" w:rsidRPr="00E24C13" w:rsidRDefault="00D20631" w:rsidP="00AE0F90">
      <w:pPr>
        <w:pStyle w:val="FootnoteText"/>
        <w:rPr>
          <w:rFonts w:ascii="Times New Roman" w:hAnsi="Times New Roman"/>
          <w:sz w:val="16"/>
          <w:szCs w:val="16"/>
        </w:rPr>
      </w:pPr>
      <w:r w:rsidRPr="006A6841">
        <w:rPr>
          <w:rStyle w:val="FootnoteReference"/>
          <w:rFonts w:ascii="Times New Roman" w:hAnsi="Times New Roman"/>
          <w:sz w:val="16"/>
          <w:szCs w:val="16"/>
        </w:rPr>
        <w:footnoteRef/>
      </w:r>
      <w:r w:rsidRPr="006A6841">
        <w:rPr>
          <w:rFonts w:ascii="Times New Roman" w:hAnsi="Times New Roman"/>
          <w:sz w:val="16"/>
          <w:szCs w:val="16"/>
        </w:rPr>
        <w:t xml:space="preserve"> </w:t>
      </w:r>
      <w:proofErr w:type="spellStart"/>
      <w:r w:rsidRPr="006A6841">
        <w:rPr>
          <w:rFonts w:ascii="Times New Roman" w:hAnsi="Times New Roman"/>
          <w:sz w:val="16"/>
          <w:szCs w:val="16"/>
        </w:rPr>
        <w:t>Special</w:t>
      </w:r>
      <w:proofErr w:type="spellEnd"/>
      <w:r w:rsidRPr="006A6841">
        <w:rPr>
          <w:rFonts w:ascii="Times New Roman" w:hAnsi="Times New Roman"/>
          <w:sz w:val="16"/>
          <w:szCs w:val="16"/>
        </w:rPr>
        <w:t xml:space="preserve"> </w:t>
      </w:r>
      <w:proofErr w:type="spellStart"/>
      <w:r w:rsidRPr="006A6841">
        <w:rPr>
          <w:rFonts w:ascii="Times New Roman" w:hAnsi="Times New Roman"/>
          <w:sz w:val="16"/>
          <w:szCs w:val="16"/>
        </w:rPr>
        <w:t>Eurobarometer</w:t>
      </w:r>
      <w:proofErr w:type="spellEnd"/>
      <w:r w:rsidRPr="006A6841">
        <w:rPr>
          <w:rFonts w:ascii="Times New Roman" w:hAnsi="Times New Roman"/>
          <w:sz w:val="16"/>
          <w:szCs w:val="16"/>
        </w:rPr>
        <w:t xml:space="preserve"> 472</w:t>
      </w:r>
      <w:r w:rsidRPr="006A6841">
        <w:rPr>
          <w:rFonts w:ascii="Times New Roman" w:hAnsi="Times New Roman"/>
          <w:sz w:val="16"/>
          <w:szCs w:val="16"/>
          <w:lang w:val="en-US"/>
        </w:rPr>
        <w:t>:</w:t>
      </w:r>
      <w:r w:rsidRPr="006A6841">
        <w:rPr>
          <w:rFonts w:ascii="Times New Roman" w:hAnsi="Times New Roman"/>
          <w:sz w:val="16"/>
          <w:szCs w:val="16"/>
        </w:rPr>
        <w:t xml:space="preserve"> </w:t>
      </w:r>
      <w:proofErr w:type="spellStart"/>
      <w:r w:rsidRPr="006A6841">
        <w:rPr>
          <w:rFonts w:ascii="Times New Roman" w:hAnsi="Times New Roman"/>
          <w:sz w:val="16"/>
          <w:szCs w:val="16"/>
          <w:lang w:val="en-US"/>
        </w:rPr>
        <w:t>Sport&amp;Physical</w:t>
      </w:r>
      <w:proofErr w:type="spellEnd"/>
      <w:r w:rsidRPr="006A6841">
        <w:rPr>
          <w:rFonts w:ascii="Times New Roman" w:hAnsi="Times New Roman"/>
          <w:sz w:val="16"/>
          <w:szCs w:val="16"/>
          <w:lang w:val="en-US"/>
        </w:rPr>
        <w:t xml:space="preserve"> Activity, December 2017</w:t>
      </w:r>
      <w:r>
        <w:rPr>
          <w:rFonts w:ascii="Times New Roman" w:hAnsi="Times New Roman"/>
          <w:sz w:val="16"/>
          <w:szCs w:val="16"/>
        </w:rPr>
        <w:t>.</w:t>
      </w:r>
    </w:p>
  </w:footnote>
  <w:footnote w:id="35">
    <w:p w:rsidR="00D20631" w:rsidRPr="00A110E0" w:rsidRDefault="00D20631" w:rsidP="00AE0F90">
      <w:pPr>
        <w:pStyle w:val="FootnoteText"/>
        <w:rPr>
          <w:rFonts w:ascii="Times New Roman" w:hAnsi="Times New Roman"/>
          <w:sz w:val="16"/>
          <w:szCs w:val="16"/>
        </w:rPr>
      </w:pPr>
      <w:r w:rsidRPr="00A110E0">
        <w:rPr>
          <w:rStyle w:val="FootnoteReference"/>
          <w:rFonts w:ascii="Times New Roman" w:hAnsi="Times New Roman"/>
          <w:sz w:val="16"/>
          <w:szCs w:val="16"/>
        </w:rPr>
        <w:footnoteRef/>
      </w:r>
      <w:r w:rsidRPr="00A110E0">
        <w:rPr>
          <w:rFonts w:ascii="Times New Roman" w:hAnsi="Times New Roman"/>
          <w:sz w:val="16"/>
          <w:szCs w:val="16"/>
        </w:rPr>
        <w:t xml:space="preserve"> </w:t>
      </w:r>
      <w:r w:rsidRPr="00A110E0">
        <w:rPr>
          <w:rFonts w:ascii="Times New Roman" w:hAnsi="Times New Roman"/>
          <w:sz w:val="16"/>
          <w:szCs w:val="16"/>
        </w:rPr>
        <w:t xml:space="preserve">Здравен профил за България 2017, State </w:t>
      </w:r>
      <w:proofErr w:type="spellStart"/>
      <w:r w:rsidRPr="00A110E0">
        <w:rPr>
          <w:rFonts w:ascii="Times New Roman" w:hAnsi="Times New Roman"/>
          <w:sz w:val="16"/>
          <w:szCs w:val="16"/>
        </w:rPr>
        <w:t>of</w:t>
      </w:r>
      <w:proofErr w:type="spellEnd"/>
      <w:r w:rsidRPr="00A110E0">
        <w:rPr>
          <w:rFonts w:ascii="Times New Roman" w:hAnsi="Times New Roman"/>
          <w:sz w:val="16"/>
          <w:szCs w:val="16"/>
        </w:rPr>
        <w:t xml:space="preserve"> Health </w:t>
      </w:r>
      <w:proofErr w:type="spellStart"/>
      <w:r w:rsidRPr="00A110E0">
        <w:rPr>
          <w:rFonts w:ascii="Times New Roman" w:hAnsi="Times New Roman"/>
          <w:sz w:val="16"/>
          <w:szCs w:val="16"/>
        </w:rPr>
        <w:t>in</w:t>
      </w:r>
      <w:proofErr w:type="spellEnd"/>
      <w:r w:rsidRPr="00A110E0">
        <w:rPr>
          <w:rFonts w:ascii="Times New Roman" w:hAnsi="Times New Roman"/>
          <w:sz w:val="16"/>
          <w:szCs w:val="16"/>
        </w:rPr>
        <w:t xml:space="preserve"> </w:t>
      </w:r>
      <w:proofErr w:type="spellStart"/>
      <w:r w:rsidRPr="00A110E0">
        <w:rPr>
          <w:rFonts w:ascii="Times New Roman" w:hAnsi="Times New Roman"/>
          <w:sz w:val="16"/>
          <w:szCs w:val="16"/>
        </w:rPr>
        <w:t>the</w:t>
      </w:r>
      <w:proofErr w:type="spellEnd"/>
      <w:r w:rsidRPr="00A110E0">
        <w:rPr>
          <w:rFonts w:ascii="Times New Roman" w:hAnsi="Times New Roman"/>
          <w:sz w:val="16"/>
          <w:szCs w:val="16"/>
        </w:rPr>
        <w:t xml:space="preserve"> EU</w:t>
      </w:r>
      <w:r>
        <w:rPr>
          <w:rFonts w:ascii="Times New Roman" w:hAnsi="Times New Roman"/>
          <w:sz w:val="16"/>
          <w:szCs w:val="16"/>
        </w:rPr>
        <w:t>.</w:t>
      </w:r>
    </w:p>
  </w:footnote>
  <w:footnote w:id="36">
    <w:p w:rsidR="00D20631" w:rsidRPr="00226E3D" w:rsidRDefault="00D20631" w:rsidP="00AE0F90">
      <w:pPr>
        <w:pStyle w:val="FootnoteText"/>
        <w:rPr>
          <w:rFonts w:ascii="Times New Roman" w:hAnsi="Times New Roman"/>
          <w:sz w:val="16"/>
          <w:szCs w:val="16"/>
        </w:rPr>
      </w:pPr>
      <w:r w:rsidRPr="00226E3D">
        <w:rPr>
          <w:rStyle w:val="FootnoteReference"/>
          <w:rFonts w:ascii="Times New Roman" w:hAnsi="Times New Roman"/>
          <w:sz w:val="16"/>
          <w:szCs w:val="16"/>
        </w:rPr>
        <w:footnoteRef/>
      </w:r>
      <w:r w:rsidRPr="00226E3D">
        <w:rPr>
          <w:rFonts w:ascii="Times New Roman" w:hAnsi="Times New Roman"/>
          <w:sz w:val="16"/>
          <w:szCs w:val="16"/>
        </w:rPr>
        <w:t xml:space="preserve"> </w:t>
      </w:r>
      <w:r w:rsidRPr="00226E3D">
        <w:rPr>
          <w:rFonts w:ascii="Times New Roman" w:hAnsi="Times New Roman"/>
          <w:sz w:val="16"/>
          <w:szCs w:val="16"/>
        </w:rPr>
        <w:t>Концепцията включва смъртни случаи, които биха могли да бъдат избегнати чрез интервенции в областта на общественото здравеопазване, насочени към по-широки детерминанти на общественото здраве, като фактори на поведението и начина на живот, социално-икономически статус и фактори на околната среда.</w:t>
      </w:r>
    </w:p>
  </w:footnote>
  <w:footnote w:id="37">
    <w:p w:rsidR="00D20631" w:rsidRPr="006F0BA5" w:rsidRDefault="00D20631" w:rsidP="00AE0F90">
      <w:pPr>
        <w:pStyle w:val="FootnoteText"/>
        <w:rPr>
          <w:rFonts w:ascii="Times New Roman" w:hAnsi="Times New Roman"/>
          <w:sz w:val="16"/>
          <w:szCs w:val="16"/>
        </w:rPr>
      </w:pPr>
      <w:r w:rsidRPr="006F0BA5">
        <w:rPr>
          <w:rStyle w:val="FootnoteReference"/>
          <w:rFonts w:ascii="Times New Roman" w:hAnsi="Times New Roman"/>
          <w:sz w:val="16"/>
          <w:szCs w:val="16"/>
        </w:rPr>
        <w:footnoteRef/>
      </w:r>
      <w:r w:rsidRPr="006F0BA5">
        <w:rPr>
          <w:rFonts w:ascii="Times New Roman" w:hAnsi="Times New Roman"/>
          <w:sz w:val="16"/>
          <w:szCs w:val="16"/>
        </w:rPr>
        <w:t xml:space="preserve"> </w:t>
      </w:r>
      <w:r w:rsidRPr="006F0BA5">
        <w:rPr>
          <w:rFonts w:ascii="Times New Roman" w:hAnsi="Times New Roman"/>
          <w:sz w:val="16"/>
          <w:szCs w:val="16"/>
        </w:rPr>
        <w:t xml:space="preserve">Здравен профил за България 2017, State </w:t>
      </w:r>
      <w:proofErr w:type="spellStart"/>
      <w:r w:rsidRPr="006F0BA5">
        <w:rPr>
          <w:rFonts w:ascii="Times New Roman" w:hAnsi="Times New Roman"/>
          <w:sz w:val="16"/>
          <w:szCs w:val="16"/>
        </w:rPr>
        <w:t>of</w:t>
      </w:r>
      <w:proofErr w:type="spellEnd"/>
      <w:r w:rsidRPr="006F0BA5">
        <w:rPr>
          <w:rFonts w:ascii="Times New Roman" w:hAnsi="Times New Roman"/>
          <w:sz w:val="16"/>
          <w:szCs w:val="16"/>
        </w:rPr>
        <w:t xml:space="preserve"> Health </w:t>
      </w:r>
      <w:proofErr w:type="spellStart"/>
      <w:r w:rsidRPr="006F0BA5">
        <w:rPr>
          <w:rFonts w:ascii="Times New Roman" w:hAnsi="Times New Roman"/>
          <w:sz w:val="16"/>
          <w:szCs w:val="16"/>
        </w:rPr>
        <w:t>in</w:t>
      </w:r>
      <w:proofErr w:type="spellEnd"/>
      <w:r w:rsidRPr="006F0BA5">
        <w:rPr>
          <w:rFonts w:ascii="Times New Roman" w:hAnsi="Times New Roman"/>
          <w:sz w:val="16"/>
          <w:szCs w:val="16"/>
        </w:rPr>
        <w:t xml:space="preserve"> </w:t>
      </w:r>
      <w:proofErr w:type="spellStart"/>
      <w:r w:rsidRPr="006F0BA5">
        <w:rPr>
          <w:rFonts w:ascii="Times New Roman" w:hAnsi="Times New Roman"/>
          <w:sz w:val="16"/>
          <w:szCs w:val="16"/>
        </w:rPr>
        <w:t>the</w:t>
      </w:r>
      <w:proofErr w:type="spellEnd"/>
      <w:r w:rsidRPr="006F0BA5">
        <w:rPr>
          <w:rFonts w:ascii="Times New Roman" w:hAnsi="Times New Roman"/>
          <w:sz w:val="16"/>
          <w:szCs w:val="16"/>
        </w:rPr>
        <w:t xml:space="preserve"> EU.</w:t>
      </w:r>
    </w:p>
  </w:footnote>
  <w:footnote w:id="38">
    <w:p w:rsidR="00D20631" w:rsidRPr="007131B0" w:rsidRDefault="00D20631" w:rsidP="00AE0F90">
      <w:pPr>
        <w:pStyle w:val="FootnoteText"/>
        <w:rPr>
          <w:rFonts w:ascii="Times New Roman" w:hAnsi="Times New Roman"/>
          <w:sz w:val="16"/>
          <w:szCs w:val="16"/>
        </w:rPr>
      </w:pPr>
      <w:r w:rsidRPr="007131B0">
        <w:rPr>
          <w:rStyle w:val="FootnoteReference"/>
          <w:rFonts w:ascii="Times New Roman" w:hAnsi="Times New Roman"/>
          <w:sz w:val="16"/>
          <w:szCs w:val="16"/>
        </w:rPr>
        <w:footnoteRef/>
      </w:r>
      <w:r w:rsidRPr="007131B0">
        <w:rPr>
          <w:rFonts w:ascii="Times New Roman" w:hAnsi="Times New Roman"/>
          <w:sz w:val="16"/>
          <w:szCs w:val="16"/>
        </w:rPr>
        <w:t xml:space="preserve"> </w:t>
      </w:r>
      <w:r w:rsidRPr="007131B0">
        <w:rPr>
          <w:rFonts w:ascii="Times New Roman" w:hAnsi="Times New Roman"/>
          <w:sz w:val="16"/>
          <w:szCs w:val="16"/>
        </w:rPr>
        <w:t>Изграждането на системата е планирано в рамките на действащ проект по оперативна програма „</w:t>
      </w:r>
      <w:r w:rsidRPr="00E24C13">
        <w:rPr>
          <w:rFonts w:ascii="Times New Roman" w:hAnsi="Times New Roman"/>
          <w:i/>
          <w:sz w:val="16"/>
          <w:szCs w:val="16"/>
        </w:rPr>
        <w:t>Добро управление</w:t>
      </w:r>
      <w:r w:rsidRPr="007131B0">
        <w:rPr>
          <w:rFonts w:ascii="Times New Roman" w:hAnsi="Times New Roman"/>
          <w:sz w:val="16"/>
          <w:szCs w:val="16"/>
        </w:rPr>
        <w:t>“.</w:t>
      </w:r>
    </w:p>
  </w:footnote>
  <w:footnote w:id="39">
    <w:p w:rsidR="00D20631" w:rsidRPr="00FC0F16" w:rsidRDefault="00D20631" w:rsidP="00AE0F90">
      <w:pPr>
        <w:pStyle w:val="FootnoteText"/>
        <w:rPr>
          <w:rFonts w:ascii="Times New Roman" w:hAnsi="Times New Roman"/>
          <w:sz w:val="16"/>
          <w:szCs w:val="16"/>
        </w:rPr>
      </w:pPr>
      <w:r w:rsidRPr="00FC0F16">
        <w:rPr>
          <w:rStyle w:val="FootnoteReference"/>
          <w:rFonts w:ascii="Times New Roman" w:hAnsi="Times New Roman"/>
          <w:sz w:val="16"/>
          <w:szCs w:val="16"/>
        </w:rPr>
        <w:footnoteRef/>
      </w:r>
      <w:r w:rsidRPr="00FC0F16">
        <w:rPr>
          <w:rFonts w:ascii="Times New Roman" w:hAnsi="Times New Roman"/>
          <w:sz w:val="16"/>
          <w:szCs w:val="16"/>
        </w:rPr>
        <w:t xml:space="preserve"> </w:t>
      </w:r>
      <w:r w:rsidRPr="00FC0F16">
        <w:rPr>
          <w:rFonts w:ascii="Times New Roman" w:hAnsi="Times New Roman"/>
          <w:sz w:val="16"/>
          <w:szCs w:val="16"/>
        </w:rPr>
        <w:t>Коефициентът на демографско заместване показва съотношението между лицата, които влизат в трудоспособна възраст (тези на възраст 15-19 години) и лицата, които излизат от нея (60-64 г</w:t>
      </w:r>
      <w:r>
        <w:rPr>
          <w:rFonts w:ascii="Times New Roman" w:hAnsi="Times New Roman"/>
          <w:sz w:val="16"/>
          <w:szCs w:val="16"/>
        </w:rPr>
        <w:t>одини</w:t>
      </w:r>
      <w:r w:rsidRPr="00FC0F16">
        <w:rPr>
          <w:rFonts w:ascii="Times New Roman" w:hAnsi="Times New Roman"/>
          <w:sz w:val="16"/>
          <w:szCs w:val="16"/>
        </w:rPr>
        <w:t>)</w:t>
      </w:r>
      <w:r>
        <w:rPr>
          <w:rFonts w:ascii="Times New Roman" w:hAnsi="Times New Roman"/>
          <w:sz w:val="16"/>
          <w:szCs w:val="16"/>
        </w:rPr>
        <w:t>.</w:t>
      </w:r>
    </w:p>
  </w:footnote>
  <w:footnote w:id="40">
    <w:p w:rsidR="00D20631" w:rsidRPr="00A37284" w:rsidRDefault="00D20631" w:rsidP="00AE0F90">
      <w:pPr>
        <w:pStyle w:val="FootnoteText"/>
        <w:rPr>
          <w:rFonts w:ascii="Times New Roman" w:hAnsi="Times New Roman"/>
          <w:sz w:val="16"/>
          <w:szCs w:val="16"/>
        </w:rPr>
      </w:pPr>
      <w:r w:rsidRPr="00A37284">
        <w:rPr>
          <w:rStyle w:val="FootnoteReference"/>
          <w:rFonts w:ascii="Times New Roman" w:hAnsi="Times New Roman"/>
          <w:sz w:val="16"/>
          <w:szCs w:val="16"/>
        </w:rPr>
        <w:footnoteRef/>
      </w:r>
      <w:r w:rsidRPr="00A37284">
        <w:rPr>
          <w:rFonts w:ascii="Times New Roman" w:hAnsi="Times New Roman"/>
          <w:sz w:val="16"/>
          <w:szCs w:val="16"/>
        </w:rPr>
        <w:t xml:space="preserve"> </w:t>
      </w:r>
      <w:r w:rsidRPr="00A37284">
        <w:rPr>
          <w:rFonts w:ascii="Times New Roman" w:hAnsi="Times New Roman"/>
          <w:sz w:val="16"/>
          <w:szCs w:val="16"/>
        </w:rPr>
        <w:t>Във възрастова група 15-64 години.</w:t>
      </w:r>
    </w:p>
  </w:footnote>
  <w:footnote w:id="41">
    <w:p w:rsidR="00D20631" w:rsidRPr="00062C43" w:rsidRDefault="00D20631" w:rsidP="00AE0F90">
      <w:pPr>
        <w:pStyle w:val="FootnoteText"/>
        <w:rPr>
          <w:rFonts w:ascii="Times New Roman" w:hAnsi="Times New Roman"/>
          <w:sz w:val="16"/>
          <w:szCs w:val="16"/>
        </w:rPr>
      </w:pPr>
      <w:r w:rsidRPr="00062C43">
        <w:rPr>
          <w:rStyle w:val="FootnoteReference"/>
          <w:rFonts w:ascii="Times New Roman" w:hAnsi="Times New Roman"/>
          <w:sz w:val="16"/>
          <w:szCs w:val="16"/>
        </w:rPr>
        <w:footnoteRef/>
      </w:r>
      <w:r w:rsidRPr="00062C43">
        <w:rPr>
          <w:rFonts w:ascii="Times New Roman" w:hAnsi="Times New Roman"/>
          <w:sz w:val="16"/>
          <w:szCs w:val="16"/>
        </w:rPr>
        <w:t xml:space="preserve"> </w:t>
      </w:r>
      <w:r w:rsidRPr="00062C43">
        <w:rPr>
          <w:rFonts w:ascii="Times New Roman" w:hAnsi="Times New Roman"/>
          <w:sz w:val="16"/>
          <w:szCs w:val="16"/>
        </w:rPr>
        <w:t>На 15-74 години.</w:t>
      </w:r>
    </w:p>
  </w:footnote>
  <w:footnote w:id="42">
    <w:p w:rsidR="00D20631" w:rsidRPr="00062C43" w:rsidRDefault="00D20631" w:rsidP="00AE0F90">
      <w:pPr>
        <w:pStyle w:val="FootnoteText"/>
        <w:rPr>
          <w:rFonts w:ascii="Times New Roman" w:hAnsi="Times New Roman"/>
          <w:sz w:val="16"/>
          <w:szCs w:val="16"/>
        </w:rPr>
      </w:pPr>
      <w:r w:rsidRPr="00062C43">
        <w:rPr>
          <w:rStyle w:val="FootnoteReference"/>
          <w:rFonts w:ascii="Times New Roman" w:hAnsi="Times New Roman"/>
          <w:sz w:val="16"/>
          <w:szCs w:val="16"/>
        </w:rPr>
        <w:footnoteRef/>
      </w:r>
      <w:r w:rsidRPr="00062C43">
        <w:rPr>
          <w:rFonts w:ascii="Times New Roman" w:hAnsi="Times New Roman"/>
          <w:sz w:val="16"/>
          <w:szCs w:val="16"/>
        </w:rPr>
        <w:t xml:space="preserve"> </w:t>
      </w:r>
      <w:r w:rsidRPr="00062C43">
        <w:rPr>
          <w:rFonts w:ascii="Times New Roman" w:hAnsi="Times New Roman"/>
          <w:sz w:val="16"/>
          <w:szCs w:val="16"/>
        </w:rPr>
        <w:t>Сред лицата на възраст 15-74 години.</w:t>
      </w:r>
    </w:p>
  </w:footnote>
  <w:footnote w:id="43">
    <w:p w:rsidR="00D20631" w:rsidRPr="00062C43" w:rsidRDefault="00D20631" w:rsidP="00AE0F90">
      <w:pPr>
        <w:pStyle w:val="FootnoteText"/>
        <w:rPr>
          <w:rFonts w:ascii="Times New Roman" w:hAnsi="Times New Roman"/>
          <w:sz w:val="16"/>
          <w:szCs w:val="16"/>
        </w:rPr>
      </w:pPr>
      <w:r w:rsidRPr="00062C43">
        <w:rPr>
          <w:rStyle w:val="FootnoteReference"/>
          <w:rFonts w:ascii="Times New Roman" w:hAnsi="Times New Roman"/>
          <w:sz w:val="16"/>
          <w:szCs w:val="16"/>
        </w:rPr>
        <w:footnoteRef/>
      </w:r>
      <w:r w:rsidRPr="00062C43">
        <w:rPr>
          <w:rFonts w:ascii="Times New Roman" w:hAnsi="Times New Roman"/>
          <w:sz w:val="16"/>
          <w:szCs w:val="16"/>
        </w:rPr>
        <w:t xml:space="preserve"> </w:t>
      </w:r>
      <w:r w:rsidRPr="00062C43">
        <w:rPr>
          <w:rFonts w:ascii="Times New Roman" w:hAnsi="Times New Roman"/>
          <w:sz w:val="16"/>
          <w:szCs w:val="16"/>
        </w:rPr>
        <w:t>Сред лицата на възраст 20-64 години.</w:t>
      </w:r>
    </w:p>
  </w:footnote>
  <w:footnote w:id="44">
    <w:p w:rsidR="00D20631" w:rsidRPr="007A09FB" w:rsidRDefault="00D20631" w:rsidP="00AE0F90">
      <w:pPr>
        <w:pStyle w:val="FootnoteText"/>
        <w:rPr>
          <w:rFonts w:ascii="Times New Roman" w:hAnsi="Times New Roman"/>
          <w:sz w:val="16"/>
          <w:szCs w:val="16"/>
        </w:rPr>
      </w:pPr>
      <w:r w:rsidRPr="007A09FB">
        <w:rPr>
          <w:rStyle w:val="FootnoteReference"/>
          <w:rFonts w:ascii="Times New Roman" w:hAnsi="Times New Roman"/>
          <w:sz w:val="16"/>
          <w:szCs w:val="16"/>
        </w:rPr>
        <w:footnoteRef/>
      </w:r>
      <w:r w:rsidRPr="007A09FB">
        <w:rPr>
          <w:rFonts w:ascii="Times New Roman" w:hAnsi="Times New Roman"/>
          <w:sz w:val="16"/>
          <w:szCs w:val="16"/>
        </w:rPr>
        <w:t xml:space="preserve"> </w:t>
      </w:r>
      <w:r w:rsidRPr="007A09FB">
        <w:rPr>
          <w:rFonts w:ascii="Times New Roman" w:hAnsi="Times New Roman"/>
          <w:sz w:val="16"/>
          <w:szCs w:val="16"/>
        </w:rPr>
        <w:t>За разпределението на отраслите от преработващата промишленост според технологичната интензивност е използвана класификацията на ОИСР</w:t>
      </w:r>
      <w:r>
        <w:rPr>
          <w:rFonts w:ascii="Times New Roman" w:hAnsi="Times New Roman"/>
          <w:sz w:val="16"/>
          <w:szCs w:val="16"/>
        </w:rPr>
        <w:t xml:space="preserve"> – вж.</w:t>
      </w:r>
      <w:r w:rsidRPr="007A09FB">
        <w:rPr>
          <w:rFonts w:ascii="Times New Roman" w:hAnsi="Times New Roman"/>
          <w:sz w:val="16"/>
          <w:szCs w:val="16"/>
        </w:rPr>
        <w:t xml:space="preserve"> </w:t>
      </w:r>
      <w:r>
        <w:rPr>
          <w:rFonts w:ascii="Times New Roman" w:hAnsi="Times New Roman"/>
          <w:sz w:val="16"/>
          <w:szCs w:val="16"/>
        </w:rPr>
        <w:t>„</w:t>
      </w:r>
      <w:r w:rsidRPr="00E24C13">
        <w:rPr>
          <w:rFonts w:ascii="Times New Roman" w:hAnsi="Times New Roman"/>
          <w:i/>
          <w:sz w:val="16"/>
          <w:szCs w:val="16"/>
        </w:rPr>
        <w:t xml:space="preserve">Science, Technology </w:t>
      </w:r>
      <w:proofErr w:type="spellStart"/>
      <w:r w:rsidRPr="00E24C13">
        <w:rPr>
          <w:rFonts w:ascii="Times New Roman" w:hAnsi="Times New Roman"/>
          <w:i/>
          <w:sz w:val="16"/>
          <w:szCs w:val="16"/>
        </w:rPr>
        <w:t>and</w:t>
      </w:r>
      <w:proofErr w:type="spellEnd"/>
      <w:r w:rsidRPr="00E24C13">
        <w:rPr>
          <w:rFonts w:ascii="Times New Roman" w:hAnsi="Times New Roman"/>
          <w:i/>
          <w:sz w:val="16"/>
          <w:szCs w:val="16"/>
        </w:rPr>
        <w:t xml:space="preserve"> </w:t>
      </w:r>
      <w:proofErr w:type="spellStart"/>
      <w:r w:rsidRPr="00E24C13">
        <w:rPr>
          <w:rFonts w:ascii="Times New Roman" w:hAnsi="Times New Roman"/>
          <w:i/>
          <w:sz w:val="16"/>
          <w:szCs w:val="16"/>
        </w:rPr>
        <w:t>Industry</w:t>
      </w:r>
      <w:proofErr w:type="spellEnd"/>
      <w:r w:rsidRPr="00E24C13">
        <w:rPr>
          <w:rFonts w:ascii="Times New Roman" w:hAnsi="Times New Roman"/>
          <w:i/>
          <w:sz w:val="16"/>
          <w:szCs w:val="16"/>
        </w:rPr>
        <w:t xml:space="preserve"> </w:t>
      </w:r>
      <w:proofErr w:type="spellStart"/>
      <w:r w:rsidRPr="00E24C13">
        <w:rPr>
          <w:rFonts w:ascii="Times New Roman" w:hAnsi="Times New Roman"/>
          <w:i/>
          <w:sz w:val="16"/>
          <w:szCs w:val="16"/>
        </w:rPr>
        <w:t>Scoreboard</w:t>
      </w:r>
      <w:proofErr w:type="spellEnd"/>
      <w:r>
        <w:rPr>
          <w:rFonts w:ascii="Times New Roman" w:hAnsi="Times New Roman"/>
          <w:sz w:val="16"/>
          <w:szCs w:val="16"/>
        </w:rPr>
        <w:t>“</w:t>
      </w:r>
      <w:r w:rsidRPr="007A09FB">
        <w:rPr>
          <w:rFonts w:ascii="Times New Roman" w:hAnsi="Times New Roman"/>
          <w:sz w:val="16"/>
          <w:szCs w:val="16"/>
        </w:rPr>
        <w:t>, 2005</w:t>
      </w:r>
      <w:r>
        <w:rPr>
          <w:rFonts w:ascii="Times New Roman" w:hAnsi="Times New Roman"/>
          <w:sz w:val="16"/>
          <w:szCs w:val="16"/>
        </w:rPr>
        <w:t>.</w:t>
      </w:r>
    </w:p>
  </w:footnote>
  <w:footnote w:id="45">
    <w:p w:rsidR="00D20631" w:rsidRPr="00F11CFF" w:rsidRDefault="00D20631" w:rsidP="00AE0F90">
      <w:pPr>
        <w:pStyle w:val="FootnoteText"/>
        <w:rPr>
          <w:rFonts w:ascii="Times New Roman" w:hAnsi="Times New Roman"/>
          <w:sz w:val="16"/>
          <w:szCs w:val="16"/>
        </w:rPr>
      </w:pPr>
      <w:r w:rsidRPr="00F11CFF">
        <w:rPr>
          <w:rStyle w:val="FootnoteReference"/>
          <w:rFonts w:ascii="Times New Roman" w:hAnsi="Times New Roman"/>
          <w:sz w:val="16"/>
          <w:szCs w:val="16"/>
        </w:rPr>
        <w:footnoteRef/>
      </w:r>
      <w:r w:rsidRPr="00F11CFF">
        <w:rPr>
          <w:rFonts w:ascii="Times New Roman" w:hAnsi="Times New Roman"/>
          <w:sz w:val="16"/>
          <w:szCs w:val="16"/>
        </w:rPr>
        <w:t xml:space="preserve"> </w:t>
      </w:r>
      <w:r w:rsidRPr="00F11CFF">
        <w:rPr>
          <w:rFonts w:ascii="Times New Roman" w:hAnsi="Times New Roman"/>
          <w:sz w:val="16"/>
          <w:szCs w:val="16"/>
        </w:rPr>
        <w:t>Данните за ЕС са за 2016 г.</w:t>
      </w:r>
    </w:p>
  </w:footnote>
  <w:footnote w:id="46">
    <w:p w:rsidR="00D20631" w:rsidRPr="00447D1E" w:rsidRDefault="00D20631" w:rsidP="00AE0F90">
      <w:pPr>
        <w:pStyle w:val="FootnoteText"/>
        <w:rPr>
          <w:rFonts w:ascii="Times New Roman" w:hAnsi="Times New Roman"/>
          <w:sz w:val="16"/>
          <w:szCs w:val="16"/>
        </w:rPr>
      </w:pPr>
      <w:r w:rsidRPr="00447D1E">
        <w:rPr>
          <w:rStyle w:val="FootnoteReference"/>
          <w:rFonts w:ascii="Times New Roman" w:hAnsi="Times New Roman"/>
          <w:sz w:val="16"/>
          <w:szCs w:val="16"/>
        </w:rPr>
        <w:footnoteRef/>
      </w:r>
      <w:r w:rsidRPr="00447D1E">
        <w:rPr>
          <w:rFonts w:ascii="Times New Roman" w:hAnsi="Times New Roman"/>
          <w:sz w:val="16"/>
          <w:szCs w:val="16"/>
        </w:rPr>
        <w:t xml:space="preserve"> </w:t>
      </w:r>
      <w:r w:rsidRPr="00447D1E">
        <w:rPr>
          <w:rFonts w:ascii="Times New Roman" w:hAnsi="Times New Roman"/>
          <w:sz w:val="16"/>
          <w:szCs w:val="16"/>
        </w:rPr>
        <w:t>Доклад за България за 2018 г., включващ задълбочен преглед относно предотвратяването и коригирането на макроикономическите дисбаланси, ЕК.</w:t>
      </w:r>
    </w:p>
  </w:footnote>
  <w:footnote w:id="47">
    <w:p w:rsidR="00D20631" w:rsidRPr="00171828" w:rsidRDefault="00D20631" w:rsidP="00AE0F90">
      <w:pPr>
        <w:pStyle w:val="FootnoteText"/>
        <w:rPr>
          <w:rFonts w:ascii="Times New Roman" w:hAnsi="Times New Roman"/>
          <w:sz w:val="16"/>
          <w:szCs w:val="16"/>
        </w:rPr>
      </w:pPr>
      <w:r w:rsidRPr="00171828">
        <w:rPr>
          <w:rStyle w:val="FootnoteReference"/>
          <w:rFonts w:ascii="Times New Roman" w:hAnsi="Times New Roman"/>
          <w:sz w:val="16"/>
          <w:szCs w:val="16"/>
        </w:rPr>
        <w:footnoteRef/>
      </w:r>
      <w:r w:rsidRPr="00171828">
        <w:rPr>
          <w:rFonts w:ascii="Times New Roman" w:hAnsi="Times New Roman"/>
          <w:sz w:val="16"/>
          <w:szCs w:val="16"/>
        </w:rPr>
        <w:t xml:space="preserve"> </w:t>
      </w:r>
      <w:r w:rsidRPr="00171828">
        <w:rPr>
          <w:rFonts w:ascii="Times New Roman" w:hAnsi="Times New Roman"/>
          <w:sz w:val="16"/>
          <w:szCs w:val="16"/>
        </w:rPr>
        <w:t>Измерена като намалението на относителния дял на населението в риск от бедност в резултат от социалните трансфери.</w:t>
      </w:r>
    </w:p>
  </w:footnote>
  <w:footnote w:id="48">
    <w:p w:rsidR="00D20631" w:rsidRPr="00171828" w:rsidRDefault="00D20631" w:rsidP="00AE0F90">
      <w:pPr>
        <w:pStyle w:val="FootnoteText"/>
        <w:rPr>
          <w:rFonts w:ascii="Times New Roman" w:hAnsi="Times New Roman"/>
          <w:sz w:val="16"/>
          <w:szCs w:val="16"/>
        </w:rPr>
      </w:pPr>
      <w:r w:rsidRPr="00171828">
        <w:rPr>
          <w:rStyle w:val="FootnoteReference"/>
          <w:rFonts w:ascii="Times New Roman" w:hAnsi="Times New Roman"/>
          <w:sz w:val="16"/>
          <w:szCs w:val="16"/>
        </w:rPr>
        <w:footnoteRef/>
      </w:r>
      <w:r w:rsidRPr="00171828">
        <w:rPr>
          <w:rFonts w:ascii="Times New Roman" w:hAnsi="Times New Roman"/>
          <w:sz w:val="16"/>
          <w:szCs w:val="16"/>
        </w:rPr>
        <w:t xml:space="preserve"> </w:t>
      </w:r>
      <w:r w:rsidRPr="00171828">
        <w:rPr>
          <w:rFonts w:ascii="Times New Roman" w:hAnsi="Times New Roman"/>
          <w:sz w:val="16"/>
          <w:szCs w:val="16"/>
        </w:rPr>
        <w:t>В анализа на социалните трансфери не са включени пенсиите; при включването им системата е оценена като шестата най-неефективна в рамките на ЕС, изпреварвайки Естония, Латвия, Литва, Кипър и Малта.</w:t>
      </w:r>
    </w:p>
  </w:footnote>
  <w:footnote w:id="49">
    <w:p w:rsidR="00D20631" w:rsidRPr="00171828" w:rsidRDefault="00D20631" w:rsidP="00AE0F90">
      <w:pPr>
        <w:pStyle w:val="FootnoteText"/>
        <w:rPr>
          <w:rFonts w:ascii="Times New Roman" w:hAnsi="Times New Roman"/>
          <w:sz w:val="16"/>
          <w:szCs w:val="16"/>
        </w:rPr>
      </w:pPr>
      <w:r w:rsidRPr="00171828">
        <w:rPr>
          <w:rStyle w:val="FootnoteReference"/>
          <w:rFonts w:ascii="Times New Roman" w:hAnsi="Times New Roman"/>
          <w:sz w:val="16"/>
          <w:szCs w:val="16"/>
        </w:rPr>
        <w:footnoteRef/>
      </w:r>
      <w:r w:rsidRPr="00171828">
        <w:rPr>
          <w:rFonts w:ascii="Times New Roman" w:hAnsi="Times New Roman"/>
          <w:sz w:val="16"/>
          <w:szCs w:val="16"/>
        </w:rPr>
        <w:t xml:space="preserve"> </w:t>
      </w:r>
      <w:r w:rsidRPr="00171828">
        <w:rPr>
          <w:rFonts w:ascii="Times New Roman" w:hAnsi="Times New Roman"/>
          <w:sz w:val="16"/>
          <w:szCs w:val="16"/>
        </w:rPr>
        <w:t>С по-незадоволително представяне в ЕС са само Гърция и Румъния.</w:t>
      </w:r>
    </w:p>
  </w:footnote>
  <w:footnote w:id="50">
    <w:p w:rsidR="00D20631" w:rsidRPr="00171828" w:rsidRDefault="00D20631" w:rsidP="00AE0F90">
      <w:pPr>
        <w:pStyle w:val="FootnoteText"/>
        <w:rPr>
          <w:rFonts w:ascii="Times New Roman" w:hAnsi="Times New Roman"/>
          <w:sz w:val="16"/>
          <w:szCs w:val="16"/>
        </w:rPr>
      </w:pPr>
      <w:r w:rsidRPr="00171828">
        <w:rPr>
          <w:rStyle w:val="FootnoteReference"/>
          <w:rFonts w:ascii="Times New Roman" w:hAnsi="Times New Roman"/>
          <w:sz w:val="16"/>
          <w:szCs w:val="16"/>
        </w:rPr>
        <w:footnoteRef/>
      </w:r>
      <w:r w:rsidRPr="00171828">
        <w:rPr>
          <w:rFonts w:ascii="Times New Roman" w:hAnsi="Times New Roman"/>
          <w:sz w:val="16"/>
          <w:szCs w:val="16"/>
        </w:rPr>
        <w:t xml:space="preserve"> </w:t>
      </w:r>
      <w:r w:rsidRPr="00171828">
        <w:rPr>
          <w:rFonts w:ascii="Times New Roman" w:hAnsi="Times New Roman"/>
          <w:sz w:val="16"/>
          <w:szCs w:val="16"/>
        </w:rPr>
        <w:t>Второ проучване на положението на малцинствата и дискриминацията в Европейския съюз — Роми — Избрани резултати, ЕК</w:t>
      </w:r>
      <w:r>
        <w:rPr>
          <w:rFonts w:ascii="Times New Roman" w:hAnsi="Times New Roman"/>
          <w:sz w:val="16"/>
          <w:szCs w:val="16"/>
        </w:rPr>
        <w:t>.</w:t>
      </w:r>
    </w:p>
  </w:footnote>
  <w:footnote w:id="51">
    <w:p w:rsidR="00D20631" w:rsidRPr="00171828" w:rsidRDefault="00D20631" w:rsidP="00AE0F90">
      <w:pPr>
        <w:pStyle w:val="FootnoteText"/>
        <w:rPr>
          <w:rFonts w:ascii="Times New Roman" w:hAnsi="Times New Roman"/>
          <w:sz w:val="16"/>
          <w:szCs w:val="16"/>
        </w:rPr>
      </w:pPr>
      <w:r w:rsidRPr="00171828">
        <w:rPr>
          <w:rStyle w:val="FootnoteReference"/>
          <w:rFonts w:ascii="Times New Roman" w:hAnsi="Times New Roman"/>
          <w:sz w:val="16"/>
          <w:szCs w:val="16"/>
        </w:rPr>
        <w:footnoteRef/>
      </w:r>
      <w:r w:rsidRPr="00171828">
        <w:rPr>
          <w:rFonts w:ascii="Times New Roman" w:hAnsi="Times New Roman"/>
          <w:sz w:val="16"/>
          <w:szCs w:val="16"/>
        </w:rPr>
        <w:t xml:space="preserve"> </w:t>
      </w:r>
      <w:r w:rsidRPr="00171828">
        <w:rPr>
          <w:rFonts w:ascii="Times New Roman" w:hAnsi="Times New Roman"/>
          <w:sz w:val="16"/>
          <w:szCs w:val="16"/>
        </w:rPr>
        <w:t>Доклад за България за 2018 г., включващ задълбочен преглед относно предотвратяването и коригирането на макроикономическите дисбаланси, ЕК</w:t>
      </w:r>
      <w:r>
        <w:rPr>
          <w:rFonts w:ascii="Times New Roman" w:hAnsi="Times New Roman"/>
          <w:sz w:val="16"/>
          <w:szCs w:val="16"/>
        </w:rPr>
        <w:t>.</w:t>
      </w:r>
    </w:p>
  </w:footnote>
  <w:footnote w:id="52">
    <w:p w:rsidR="00D20631" w:rsidRPr="00171828" w:rsidRDefault="00D20631" w:rsidP="00AE0F90">
      <w:pPr>
        <w:pStyle w:val="FootnoteText"/>
        <w:rPr>
          <w:rFonts w:ascii="Times New Roman" w:hAnsi="Times New Roman"/>
          <w:sz w:val="16"/>
          <w:szCs w:val="16"/>
        </w:rPr>
      </w:pPr>
      <w:r w:rsidRPr="00171828">
        <w:rPr>
          <w:rStyle w:val="FootnoteReference"/>
          <w:rFonts w:ascii="Times New Roman" w:hAnsi="Times New Roman"/>
          <w:sz w:val="16"/>
          <w:szCs w:val="16"/>
        </w:rPr>
        <w:footnoteRef/>
      </w:r>
      <w:r w:rsidRPr="00171828">
        <w:rPr>
          <w:rFonts w:ascii="Times New Roman" w:hAnsi="Times New Roman"/>
          <w:sz w:val="16"/>
          <w:szCs w:val="16"/>
        </w:rPr>
        <w:t xml:space="preserve"> </w:t>
      </w:r>
      <w:r w:rsidRPr="00171828">
        <w:rPr>
          <w:rFonts w:ascii="Times New Roman" w:hAnsi="Times New Roman"/>
          <w:sz w:val="16"/>
          <w:szCs w:val="16"/>
        </w:rPr>
        <w:t>Второ проучване на положението на малцинствата и дискриминацията в Европейския съюз — Роми — Избрани резултати, ЕК</w:t>
      </w:r>
      <w:r>
        <w:rPr>
          <w:rFonts w:ascii="Times New Roman" w:hAnsi="Times New Roman"/>
          <w:sz w:val="16"/>
          <w:szCs w:val="16"/>
        </w:rPr>
        <w:t>.</w:t>
      </w:r>
    </w:p>
  </w:footnote>
  <w:footnote w:id="53">
    <w:p w:rsidR="00D20631" w:rsidRPr="00FC3B0B" w:rsidRDefault="00D20631" w:rsidP="00AE0F90">
      <w:pPr>
        <w:pStyle w:val="FootnoteText"/>
        <w:rPr>
          <w:rFonts w:ascii="Times New Roman" w:hAnsi="Times New Roman"/>
          <w:sz w:val="16"/>
          <w:szCs w:val="16"/>
        </w:rPr>
      </w:pPr>
      <w:r w:rsidRPr="00FC3B0B">
        <w:rPr>
          <w:rStyle w:val="FootnoteReference"/>
          <w:rFonts w:ascii="Times New Roman" w:hAnsi="Times New Roman"/>
          <w:sz w:val="16"/>
          <w:szCs w:val="16"/>
        </w:rPr>
        <w:footnoteRef/>
      </w:r>
      <w:r w:rsidRPr="00FC3B0B">
        <w:rPr>
          <w:rFonts w:ascii="Times New Roman" w:hAnsi="Times New Roman"/>
          <w:sz w:val="16"/>
          <w:szCs w:val="16"/>
        </w:rPr>
        <w:t xml:space="preserve"> </w:t>
      </w:r>
      <w:r w:rsidRPr="00FC3B0B">
        <w:rPr>
          <w:rFonts w:ascii="Times New Roman" w:hAnsi="Times New Roman"/>
          <w:sz w:val="16"/>
          <w:szCs w:val="16"/>
        </w:rPr>
        <w:t>Разходите за социална защита в разглеждания период са по-ниски само в Латвия (11.6% от БВП) и Румъния (11.9% от БВП).</w:t>
      </w:r>
    </w:p>
  </w:footnote>
  <w:footnote w:id="54">
    <w:p w:rsidR="00D20631" w:rsidRPr="00FF381B" w:rsidRDefault="00D20631" w:rsidP="00AE0F90">
      <w:pPr>
        <w:pStyle w:val="FootnoteText"/>
        <w:rPr>
          <w:rFonts w:ascii="Times New Roman" w:hAnsi="Times New Roman"/>
          <w:sz w:val="16"/>
          <w:szCs w:val="16"/>
        </w:rPr>
      </w:pPr>
      <w:r w:rsidRPr="00FF381B">
        <w:rPr>
          <w:rStyle w:val="FootnoteReference"/>
          <w:rFonts w:ascii="Times New Roman" w:hAnsi="Times New Roman"/>
          <w:sz w:val="16"/>
          <w:szCs w:val="16"/>
        </w:rPr>
        <w:footnoteRef/>
      </w:r>
      <w:r w:rsidRPr="00FF381B">
        <w:rPr>
          <w:rFonts w:ascii="Times New Roman" w:hAnsi="Times New Roman"/>
          <w:sz w:val="16"/>
          <w:szCs w:val="16"/>
        </w:rPr>
        <w:t xml:space="preserve"> </w:t>
      </w:r>
      <w:r w:rsidRPr="00FF381B">
        <w:rPr>
          <w:rFonts w:ascii="Times New Roman" w:hAnsi="Times New Roman"/>
          <w:sz w:val="16"/>
          <w:szCs w:val="16"/>
        </w:rPr>
        <w:t xml:space="preserve">Access </w:t>
      </w:r>
      <w:proofErr w:type="spellStart"/>
      <w:r w:rsidRPr="00FF381B">
        <w:rPr>
          <w:rFonts w:ascii="Times New Roman" w:hAnsi="Times New Roman"/>
          <w:sz w:val="16"/>
          <w:szCs w:val="16"/>
        </w:rPr>
        <w:t>to</w:t>
      </w:r>
      <w:proofErr w:type="spellEnd"/>
      <w:r w:rsidRPr="00FF381B">
        <w:rPr>
          <w:rFonts w:ascii="Times New Roman" w:hAnsi="Times New Roman"/>
          <w:sz w:val="16"/>
          <w:szCs w:val="16"/>
        </w:rPr>
        <w:t xml:space="preserve"> </w:t>
      </w:r>
      <w:proofErr w:type="spellStart"/>
      <w:r w:rsidRPr="00FF381B">
        <w:rPr>
          <w:rFonts w:ascii="Times New Roman" w:hAnsi="Times New Roman"/>
          <w:sz w:val="16"/>
          <w:szCs w:val="16"/>
        </w:rPr>
        <w:t>social</w:t>
      </w:r>
      <w:proofErr w:type="spellEnd"/>
      <w:r w:rsidRPr="00FF381B">
        <w:rPr>
          <w:rFonts w:ascii="Times New Roman" w:hAnsi="Times New Roman"/>
          <w:sz w:val="16"/>
          <w:szCs w:val="16"/>
        </w:rPr>
        <w:t xml:space="preserve"> </w:t>
      </w:r>
      <w:proofErr w:type="spellStart"/>
      <w:r w:rsidRPr="00FF381B">
        <w:rPr>
          <w:rFonts w:ascii="Times New Roman" w:hAnsi="Times New Roman"/>
          <w:sz w:val="16"/>
          <w:szCs w:val="16"/>
        </w:rPr>
        <w:t>protection</w:t>
      </w:r>
      <w:proofErr w:type="spellEnd"/>
      <w:r w:rsidRPr="00FF381B">
        <w:rPr>
          <w:rFonts w:ascii="Times New Roman" w:hAnsi="Times New Roman"/>
          <w:sz w:val="16"/>
          <w:szCs w:val="16"/>
        </w:rPr>
        <w:t xml:space="preserve"> </w:t>
      </w:r>
      <w:proofErr w:type="spellStart"/>
      <w:r w:rsidRPr="00FF381B">
        <w:rPr>
          <w:rFonts w:ascii="Times New Roman" w:hAnsi="Times New Roman"/>
          <w:sz w:val="16"/>
          <w:szCs w:val="16"/>
        </w:rPr>
        <w:t>of</w:t>
      </w:r>
      <w:proofErr w:type="spellEnd"/>
      <w:r w:rsidRPr="00FF381B">
        <w:rPr>
          <w:rFonts w:ascii="Times New Roman" w:hAnsi="Times New Roman"/>
          <w:sz w:val="16"/>
          <w:szCs w:val="16"/>
        </w:rPr>
        <w:t xml:space="preserve"> </w:t>
      </w:r>
      <w:proofErr w:type="spellStart"/>
      <w:r w:rsidRPr="00FF381B">
        <w:rPr>
          <w:rFonts w:ascii="Times New Roman" w:hAnsi="Times New Roman"/>
          <w:sz w:val="16"/>
          <w:szCs w:val="16"/>
        </w:rPr>
        <w:t>people</w:t>
      </w:r>
      <w:proofErr w:type="spellEnd"/>
      <w:r w:rsidRPr="00FF381B">
        <w:rPr>
          <w:rFonts w:ascii="Times New Roman" w:hAnsi="Times New Roman"/>
          <w:sz w:val="16"/>
          <w:szCs w:val="16"/>
        </w:rPr>
        <w:t xml:space="preserve"> </w:t>
      </w:r>
      <w:proofErr w:type="spellStart"/>
      <w:r w:rsidRPr="00FF381B">
        <w:rPr>
          <w:rFonts w:ascii="Times New Roman" w:hAnsi="Times New Roman"/>
          <w:sz w:val="16"/>
          <w:szCs w:val="16"/>
        </w:rPr>
        <w:t>working</w:t>
      </w:r>
      <w:proofErr w:type="spellEnd"/>
      <w:r w:rsidRPr="00FF381B">
        <w:rPr>
          <w:rFonts w:ascii="Times New Roman" w:hAnsi="Times New Roman"/>
          <w:sz w:val="16"/>
          <w:szCs w:val="16"/>
        </w:rPr>
        <w:t xml:space="preserve"> </w:t>
      </w:r>
      <w:proofErr w:type="spellStart"/>
      <w:r w:rsidRPr="00FF381B">
        <w:rPr>
          <w:rFonts w:ascii="Times New Roman" w:hAnsi="Times New Roman"/>
          <w:sz w:val="16"/>
          <w:szCs w:val="16"/>
        </w:rPr>
        <w:t>as</w:t>
      </w:r>
      <w:proofErr w:type="spellEnd"/>
      <w:r w:rsidRPr="00FF381B">
        <w:rPr>
          <w:rFonts w:ascii="Times New Roman" w:hAnsi="Times New Roman"/>
          <w:sz w:val="16"/>
          <w:szCs w:val="16"/>
        </w:rPr>
        <w:t xml:space="preserve"> </w:t>
      </w:r>
      <w:proofErr w:type="spellStart"/>
      <w:r w:rsidRPr="00FF381B">
        <w:rPr>
          <w:rFonts w:ascii="Times New Roman" w:hAnsi="Times New Roman"/>
          <w:sz w:val="16"/>
          <w:szCs w:val="16"/>
        </w:rPr>
        <w:t>self-employed</w:t>
      </w:r>
      <w:proofErr w:type="spellEnd"/>
      <w:r w:rsidRPr="00FF381B">
        <w:rPr>
          <w:rFonts w:ascii="Times New Roman" w:hAnsi="Times New Roman"/>
          <w:sz w:val="16"/>
          <w:szCs w:val="16"/>
        </w:rPr>
        <w:t xml:space="preserve"> </w:t>
      </w:r>
      <w:proofErr w:type="spellStart"/>
      <w:r w:rsidRPr="00FF381B">
        <w:rPr>
          <w:rFonts w:ascii="Times New Roman" w:hAnsi="Times New Roman"/>
          <w:sz w:val="16"/>
          <w:szCs w:val="16"/>
        </w:rPr>
        <w:t>or</w:t>
      </w:r>
      <w:proofErr w:type="spellEnd"/>
      <w:r w:rsidRPr="00FF381B">
        <w:rPr>
          <w:rFonts w:ascii="Times New Roman" w:hAnsi="Times New Roman"/>
          <w:sz w:val="16"/>
          <w:szCs w:val="16"/>
        </w:rPr>
        <w:t xml:space="preserve"> </w:t>
      </w:r>
      <w:proofErr w:type="spellStart"/>
      <w:r w:rsidRPr="00FF381B">
        <w:rPr>
          <w:rFonts w:ascii="Times New Roman" w:hAnsi="Times New Roman"/>
          <w:sz w:val="16"/>
          <w:szCs w:val="16"/>
        </w:rPr>
        <w:t>on</w:t>
      </w:r>
      <w:proofErr w:type="spellEnd"/>
      <w:r w:rsidRPr="00FF381B">
        <w:rPr>
          <w:rFonts w:ascii="Times New Roman" w:hAnsi="Times New Roman"/>
          <w:sz w:val="16"/>
          <w:szCs w:val="16"/>
        </w:rPr>
        <w:t xml:space="preserve"> </w:t>
      </w:r>
      <w:proofErr w:type="spellStart"/>
      <w:r w:rsidRPr="00FF381B">
        <w:rPr>
          <w:rFonts w:ascii="Times New Roman" w:hAnsi="Times New Roman"/>
          <w:sz w:val="16"/>
          <w:szCs w:val="16"/>
        </w:rPr>
        <w:t>non-standard</w:t>
      </w:r>
      <w:proofErr w:type="spellEnd"/>
      <w:r w:rsidRPr="00FF381B">
        <w:rPr>
          <w:rFonts w:ascii="Times New Roman" w:hAnsi="Times New Roman"/>
          <w:sz w:val="16"/>
          <w:szCs w:val="16"/>
        </w:rPr>
        <w:t xml:space="preserve"> </w:t>
      </w:r>
      <w:proofErr w:type="spellStart"/>
      <w:r w:rsidRPr="00FF381B">
        <w:rPr>
          <w:rFonts w:ascii="Times New Roman" w:hAnsi="Times New Roman"/>
          <w:sz w:val="16"/>
          <w:szCs w:val="16"/>
        </w:rPr>
        <w:t>contracts</w:t>
      </w:r>
      <w:proofErr w:type="spellEnd"/>
      <w:r>
        <w:rPr>
          <w:rFonts w:ascii="Times New Roman" w:hAnsi="Times New Roman"/>
          <w:sz w:val="16"/>
          <w:szCs w:val="16"/>
        </w:rPr>
        <w:t xml:space="preserve"> – </w:t>
      </w:r>
      <w:proofErr w:type="spellStart"/>
      <w:r w:rsidRPr="00FF381B">
        <w:rPr>
          <w:rFonts w:ascii="Times New Roman" w:hAnsi="Times New Roman"/>
          <w:sz w:val="16"/>
          <w:szCs w:val="16"/>
        </w:rPr>
        <w:t>Bulgaria</w:t>
      </w:r>
      <w:proofErr w:type="spellEnd"/>
      <w:r>
        <w:rPr>
          <w:rFonts w:ascii="Times New Roman" w:hAnsi="Times New Roman"/>
          <w:sz w:val="16"/>
          <w:szCs w:val="16"/>
        </w:rPr>
        <w:t xml:space="preserve"> </w:t>
      </w:r>
      <w:r w:rsidRPr="00FF381B">
        <w:rPr>
          <w:rFonts w:ascii="Times New Roman" w:hAnsi="Times New Roman"/>
          <w:sz w:val="16"/>
          <w:szCs w:val="16"/>
        </w:rPr>
        <w:t>2017</w:t>
      </w:r>
      <w:r>
        <w:rPr>
          <w:rFonts w:ascii="Times New Roman" w:hAnsi="Times New Roman"/>
          <w:sz w:val="16"/>
          <w:szCs w:val="16"/>
        </w:rPr>
        <w:t>, ЕС.</w:t>
      </w:r>
    </w:p>
  </w:footnote>
  <w:footnote w:id="55">
    <w:p w:rsidR="00D20631" w:rsidRPr="000E5196" w:rsidRDefault="00D20631" w:rsidP="00AE0F90">
      <w:pPr>
        <w:pStyle w:val="FootnoteText"/>
        <w:rPr>
          <w:rFonts w:ascii="Times New Roman" w:hAnsi="Times New Roman"/>
          <w:sz w:val="16"/>
          <w:szCs w:val="16"/>
        </w:rPr>
      </w:pPr>
      <w:r w:rsidRPr="000E5196">
        <w:rPr>
          <w:rStyle w:val="FootnoteReference"/>
          <w:rFonts w:ascii="Times New Roman" w:hAnsi="Times New Roman"/>
          <w:sz w:val="16"/>
          <w:szCs w:val="16"/>
        </w:rPr>
        <w:footnoteRef/>
      </w:r>
      <w:r w:rsidRPr="000E5196">
        <w:rPr>
          <w:rFonts w:ascii="Times New Roman" w:hAnsi="Times New Roman"/>
          <w:sz w:val="16"/>
          <w:szCs w:val="16"/>
        </w:rPr>
        <w:t xml:space="preserve"> </w:t>
      </w:r>
      <w:r w:rsidRPr="000E5196">
        <w:rPr>
          <w:rFonts w:ascii="Times New Roman" w:hAnsi="Times New Roman"/>
          <w:sz w:val="16"/>
          <w:szCs w:val="16"/>
        </w:rPr>
        <w:t>Доклад за България за 2018 г., включващ задълбочен преглед относно предотвратяването и коригирането на макроикономическите дисбаланси, ЕК</w:t>
      </w:r>
    </w:p>
  </w:footnote>
  <w:footnote w:id="56">
    <w:p w:rsidR="00D20631" w:rsidRPr="00CE2131" w:rsidRDefault="00D20631" w:rsidP="00AE0F90">
      <w:pPr>
        <w:pStyle w:val="FootnoteText"/>
        <w:rPr>
          <w:rFonts w:ascii="Times New Roman" w:hAnsi="Times New Roman"/>
          <w:sz w:val="16"/>
          <w:szCs w:val="16"/>
        </w:rPr>
      </w:pPr>
      <w:r w:rsidRPr="00CE2131">
        <w:rPr>
          <w:rStyle w:val="FootnoteReference"/>
          <w:rFonts w:ascii="Times New Roman" w:hAnsi="Times New Roman"/>
          <w:sz w:val="16"/>
          <w:szCs w:val="16"/>
        </w:rPr>
        <w:footnoteRef/>
      </w:r>
      <w:r w:rsidRPr="00CE2131">
        <w:rPr>
          <w:rFonts w:ascii="Times New Roman" w:hAnsi="Times New Roman"/>
          <w:sz w:val="16"/>
          <w:szCs w:val="16"/>
        </w:rPr>
        <w:t xml:space="preserve"> </w:t>
      </w:r>
      <w:r>
        <w:rPr>
          <w:rFonts w:ascii="Times New Roman" w:hAnsi="Times New Roman"/>
          <w:sz w:val="16"/>
          <w:szCs w:val="16"/>
        </w:rPr>
        <w:t>Иновационна с</w:t>
      </w:r>
      <w:r w:rsidRPr="00CE2131">
        <w:rPr>
          <w:rFonts w:ascii="Times New Roman" w:hAnsi="Times New Roman"/>
          <w:sz w:val="16"/>
          <w:szCs w:val="16"/>
        </w:rPr>
        <w:t xml:space="preserve">тратегия за интелигентна специализация на </w:t>
      </w:r>
      <w:r>
        <w:rPr>
          <w:rFonts w:ascii="Times New Roman" w:hAnsi="Times New Roman"/>
          <w:sz w:val="16"/>
          <w:szCs w:val="16"/>
        </w:rPr>
        <w:t xml:space="preserve">Република </w:t>
      </w:r>
      <w:r w:rsidRPr="00CE2131">
        <w:rPr>
          <w:rFonts w:ascii="Times New Roman" w:hAnsi="Times New Roman"/>
          <w:sz w:val="16"/>
          <w:szCs w:val="16"/>
        </w:rPr>
        <w:t>България</w:t>
      </w:r>
      <w:r>
        <w:rPr>
          <w:rFonts w:ascii="Times New Roman" w:hAnsi="Times New Roman"/>
          <w:sz w:val="16"/>
          <w:szCs w:val="16"/>
        </w:rPr>
        <w:t xml:space="preserve"> 2014-2020 г.</w:t>
      </w:r>
    </w:p>
  </w:footnote>
  <w:footnote w:id="57">
    <w:p w:rsidR="00D20631" w:rsidRPr="00D40179" w:rsidRDefault="00D20631" w:rsidP="00AE0F90">
      <w:pPr>
        <w:pStyle w:val="FootnoteText"/>
        <w:rPr>
          <w:rFonts w:ascii="Times New Roman" w:hAnsi="Times New Roman"/>
          <w:sz w:val="16"/>
          <w:szCs w:val="16"/>
        </w:rPr>
      </w:pPr>
      <w:r w:rsidRPr="00D40179">
        <w:rPr>
          <w:rStyle w:val="FootnoteReference"/>
          <w:rFonts w:ascii="Times New Roman" w:hAnsi="Times New Roman"/>
          <w:sz w:val="16"/>
          <w:szCs w:val="16"/>
        </w:rPr>
        <w:footnoteRef/>
      </w:r>
      <w:r w:rsidRPr="00D40179">
        <w:rPr>
          <w:rFonts w:ascii="Times New Roman" w:hAnsi="Times New Roman"/>
          <w:sz w:val="16"/>
          <w:szCs w:val="16"/>
        </w:rPr>
        <w:t xml:space="preserve"> </w:t>
      </w:r>
      <w:proofErr w:type="spellStart"/>
      <w:r w:rsidRPr="00D40179">
        <w:rPr>
          <w:rFonts w:ascii="Times New Roman" w:hAnsi="Times New Roman"/>
          <w:sz w:val="16"/>
          <w:szCs w:val="16"/>
        </w:rPr>
        <w:t>The</w:t>
      </w:r>
      <w:proofErr w:type="spellEnd"/>
      <w:r w:rsidRPr="00D40179">
        <w:rPr>
          <w:rFonts w:ascii="Times New Roman" w:hAnsi="Times New Roman"/>
          <w:sz w:val="16"/>
          <w:szCs w:val="16"/>
        </w:rPr>
        <w:t xml:space="preserve"> </w:t>
      </w:r>
      <w:proofErr w:type="spellStart"/>
      <w:r w:rsidRPr="00D40179">
        <w:rPr>
          <w:rFonts w:ascii="Times New Roman" w:hAnsi="Times New Roman"/>
          <w:sz w:val="16"/>
          <w:szCs w:val="16"/>
        </w:rPr>
        <w:t>research</w:t>
      </w:r>
      <w:proofErr w:type="spellEnd"/>
      <w:r w:rsidRPr="00D40179">
        <w:rPr>
          <w:rFonts w:ascii="Times New Roman" w:hAnsi="Times New Roman"/>
          <w:sz w:val="16"/>
          <w:szCs w:val="16"/>
        </w:rPr>
        <w:t xml:space="preserve"> </w:t>
      </w:r>
      <w:proofErr w:type="spellStart"/>
      <w:r w:rsidRPr="00D40179">
        <w:rPr>
          <w:rFonts w:ascii="Times New Roman" w:hAnsi="Times New Roman"/>
          <w:sz w:val="16"/>
          <w:szCs w:val="16"/>
        </w:rPr>
        <w:t>evaluation</w:t>
      </w:r>
      <w:proofErr w:type="spellEnd"/>
      <w:r w:rsidRPr="00D40179">
        <w:rPr>
          <w:rFonts w:ascii="Times New Roman" w:hAnsi="Times New Roman"/>
          <w:sz w:val="16"/>
          <w:szCs w:val="16"/>
        </w:rPr>
        <w:t xml:space="preserve"> </w:t>
      </w:r>
      <w:proofErr w:type="spellStart"/>
      <w:r w:rsidRPr="00D40179">
        <w:rPr>
          <w:rFonts w:ascii="Times New Roman" w:hAnsi="Times New Roman"/>
          <w:sz w:val="16"/>
          <w:szCs w:val="16"/>
        </w:rPr>
        <w:t>and</w:t>
      </w:r>
      <w:proofErr w:type="spellEnd"/>
      <w:r w:rsidRPr="00D40179">
        <w:rPr>
          <w:rFonts w:ascii="Times New Roman" w:hAnsi="Times New Roman"/>
          <w:sz w:val="16"/>
          <w:szCs w:val="16"/>
        </w:rPr>
        <w:t xml:space="preserve"> </w:t>
      </w:r>
      <w:proofErr w:type="spellStart"/>
      <w:r w:rsidRPr="00D40179">
        <w:rPr>
          <w:rFonts w:ascii="Times New Roman" w:hAnsi="Times New Roman"/>
          <w:sz w:val="16"/>
          <w:szCs w:val="16"/>
        </w:rPr>
        <w:t>performance-based</w:t>
      </w:r>
      <w:proofErr w:type="spellEnd"/>
      <w:r w:rsidRPr="00D40179">
        <w:rPr>
          <w:rFonts w:ascii="Times New Roman" w:hAnsi="Times New Roman"/>
          <w:sz w:val="16"/>
          <w:szCs w:val="16"/>
        </w:rPr>
        <w:t xml:space="preserve"> </w:t>
      </w:r>
      <w:proofErr w:type="spellStart"/>
      <w:r w:rsidRPr="00D40179">
        <w:rPr>
          <w:rFonts w:ascii="Times New Roman" w:hAnsi="Times New Roman"/>
          <w:sz w:val="16"/>
          <w:szCs w:val="16"/>
        </w:rPr>
        <w:t>funding</w:t>
      </w:r>
      <w:proofErr w:type="spellEnd"/>
      <w:r w:rsidRPr="00D40179">
        <w:rPr>
          <w:rFonts w:ascii="Times New Roman" w:hAnsi="Times New Roman"/>
          <w:sz w:val="16"/>
          <w:szCs w:val="16"/>
        </w:rPr>
        <w:t xml:space="preserve"> </w:t>
      </w:r>
      <w:proofErr w:type="spellStart"/>
      <w:r w:rsidRPr="00D40179">
        <w:rPr>
          <w:rFonts w:ascii="Times New Roman" w:hAnsi="Times New Roman"/>
          <w:sz w:val="16"/>
          <w:szCs w:val="16"/>
        </w:rPr>
        <w:t>system</w:t>
      </w:r>
      <w:proofErr w:type="spellEnd"/>
      <w:r w:rsidRPr="00D40179">
        <w:rPr>
          <w:rFonts w:ascii="Times New Roman" w:hAnsi="Times New Roman"/>
          <w:sz w:val="16"/>
          <w:szCs w:val="16"/>
        </w:rPr>
        <w:t xml:space="preserve"> </w:t>
      </w:r>
      <w:proofErr w:type="spellStart"/>
      <w:r w:rsidRPr="00D40179">
        <w:rPr>
          <w:rFonts w:ascii="Times New Roman" w:hAnsi="Times New Roman"/>
          <w:sz w:val="16"/>
          <w:szCs w:val="16"/>
        </w:rPr>
        <w:t>in</w:t>
      </w:r>
      <w:proofErr w:type="spellEnd"/>
      <w:r w:rsidRPr="00D40179">
        <w:rPr>
          <w:rFonts w:ascii="Times New Roman" w:hAnsi="Times New Roman"/>
          <w:sz w:val="16"/>
          <w:szCs w:val="16"/>
        </w:rPr>
        <w:t xml:space="preserve"> </w:t>
      </w:r>
      <w:proofErr w:type="spellStart"/>
      <w:r w:rsidRPr="00D40179">
        <w:rPr>
          <w:rFonts w:ascii="Times New Roman" w:hAnsi="Times New Roman"/>
          <w:sz w:val="16"/>
          <w:szCs w:val="16"/>
        </w:rPr>
        <w:t>Bulgaria</w:t>
      </w:r>
      <w:proofErr w:type="spellEnd"/>
      <w:r w:rsidRPr="00D40179">
        <w:rPr>
          <w:rFonts w:ascii="Times New Roman" w:hAnsi="Times New Roman"/>
          <w:sz w:val="16"/>
          <w:szCs w:val="16"/>
        </w:rPr>
        <w:t>, ЕС, 2018.</w:t>
      </w:r>
    </w:p>
  </w:footnote>
  <w:footnote w:id="58">
    <w:p w:rsidR="00D20631" w:rsidRPr="00680548" w:rsidRDefault="00D20631" w:rsidP="00AE0F90">
      <w:pPr>
        <w:pStyle w:val="FootnoteText"/>
        <w:rPr>
          <w:rFonts w:ascii="Times New Roman" w:hAnsi="Times New Roman"/>
          <w:sz w:val="16"/>
          <w:szCs w:val="16"/>
        </w:rPr>
      </w:pPr>
      <w:r w:rsidRPr="00680548">
        <w:rPr>
          <w:rStyle w:val="FootnoteReference"/>
          <w:rFonts w:ascii="Times New Roman" w:hAnsi="Times New Roman"/>
          <w:sz w:val="16"/>
          <w:szCs w:val="16"/>
        </w:rPr>
        <w:footnoteRef/>
      </w:r>
      <w:r w:rsidRPr="00680548">
        <w:rPr>
          <w:rFonts w:ascii="Times New Roman" w:hAnsi="Times New Roman"/>
          <w:sz w:val="16"/>
          <w:szCs w:val="16"/>
        </w:rPr>
        <w:t xml:space="preserve"> </w:t>
      </w:r>
      <w:proofErr w:type="spellStart"/>
      <w:r w:rsidRPr="00680548">
        <w:rPr>
          <w:rFonts w:ascii="Times New Roman" w:hAnsi="Times New Roman"/>
          <w:sz w:val="16"/>
          <w:szCs w:val="16"/>
        </w:rPr>
        <w:t>The</w:t>
      </w:r>
      <w:proofErr w:type="spellEnd"/>
      <w:r w:rsidRPr="00680548">
        <w:rPr>
          <w:rFonts w:ascii="Times New Roman" w:hAnsi="Times New Roman"/>
          <w:sz w:val="16"/>
          <w:szCs w:val="16"/>
        </w:rPr>
        <w:t xml:space="preserve"> </w:t>
      </w:r>
      <w:proofErr w:type="spellStart"/>
      <w:r w:rsidRPr="00680548">
        <w:rPr>
          <w:rFonts w:ascii="Times New Roman" w:hAnsi="Times New Roman"/>
          <w:sz w:val="16"/>
          <w:szCs w:val="16"/>
        </w:rPr>
        <w:t>research</w:t>
      </w:r>
      <w:proofErr w:type="spellEnd"/>
      <w:r w:rsidRPr="00680548">
        <w:rPr>
          <w:rFonts w:ascii="Times New Roman" w:hAnsi="Times New Roman"/>
          <w:sz w:val="16"/>
          <w:szCs w:val="16"/>
        </w:rPr>
        <w:t xml:space="preserve"> </w:t>
      </w:r>
      <w:proofErr w:type="spellStart"/>
      <w:r w:rsidRPr="00680548">
        <w:rPr>
          <w:rFonts w:ascii="Times New Roman" w:hAnsi="Times New Roman"/>
          <w:sz w:val="16"/>
          <w:szCs w:val="16"/>
        </w:rPr>
        <w:t>evaluation</w:t>
      </w:r>
      <w:proofErr w:type="spellEnd"/>
      <w:r w:rsidRPr="00680548">
        <w:rPr>
          <w:rFonts w:ascii="Times New Roman" w:hAnsi="Times New Roman"/>
          <w:sz w:val="16"/>
          <w:szCs w:val="16"/>
        </w:rPr>
        <w:t xml:space="preserve"> </w:t>
      </w:r>
      <w:proofErr w:type="spellStart"/>
      <w:r w:rsidRPr="00680548">
        <w:rPr>
          <w:rFonts w:ascii="Times New Roman" w:hAnsi="Times New Roman"/>
          <w:sz w:val="16"/>
          <w:szCs w:val="16"/>
        </w:rPr>
        <w:t>and</w:t>
      </w:r>
      <w:proofErr w:type="spellEnd"/>
      <w:r w:rsidRPr="00680548">
        <w:rPr>
          <w:rFonts w:ascii="Times New Roman" w:hAnsi="Times New Roman"/>
          <w:sz w:val="16"/>
          <w:szCs w:val="16"/>
        </w:rPr>
        <w:t xml:space="preserve"> </w:t>
      </w:r>
      <w:proofErr w:type="spellStart"/>
      <w:r w:rsidRPr="00680548">
        <w:rPr>
          <w:rFonts w:ascii="Times New Roman" w:hAnsi="Times New Roman"/>
          <w:sz w:val="16"/>
          <w:szCs w:val="16"/>
        </w:rPr>
        <w:t>performance-based</w:t>
      </w:r>
      <w:proofErr w:type="spellEnd"/>
      <w:r w:rsidRPr="00680548">
        <w:rPr>
          <w:rFonts w:ascii="Times New Roman" w:hAnsi="Times New Roman"/>
          <w:sz w:val="16"/>
          <w:szCs w:val="16"/>
        </w:rPr>
        <w:t xml:space="preserve"> </w:t>
      </w:r>
      <w:proofErr w:type="spellStart"/>
      <w:r w:rsidRPr="00680548">
        <w:rPr>
          <w:rFonts w:ascii="Times New Roman" w:hAnsi="Times New Roman"/>
          <w:sz w:val="16"/>
          <w:szCs w:val="16"/>
        </w:rPr>
        <w:t>funding</w:t>
      </w:r>
      <w:proofErr w:type="spellEnd"/>
      <w:r w:rsidRPr="00680548">
        <w:rPr>
          <w:rFonts w:ascii="Times New Roman" w:hAnsi="Times New Roman"/>
          <w:sz w:val="16"/>
          <w:szCs w:val="16"/>
        </w:rPr>
        <w:t xml:space="preserve"> </w:t>
      </w:r>
      <w:proofErr w:type="spellStart"/>
      <w:r w:rsidRPr="00680548">
        <w:rPr>
          <w:rFonts w:ascii="Times New Roman" w:hAnsi="Times New Roman"/>
          <w:sz w:val="16"/>
          <w:szCs w:val="16"/>
        </w:rPr>
        <w:t>system</w:t>
      </w:r>
      <w:proofErr w:type="spellEnd"/>
      <w:r w:rsidRPr="00680548">
        <w:rPr>
          <w:rFonts w:ascii="Times New Roman" w:hAnsi="Times New Roman"/>
          <w:sz w:val="16"/>
          <w:szCs w:val="16"/>
        </w:rPr>
        <w:t xml:space="preserve"> </w:t>
      </w:r>
      <w:proofErr w:type="spellStart"/>
      <w:r w:rsidRPr="00680548">
        <w:rPr>
          <w:rFonts w:ascii="Times New Roman" w:hAnsi="Times New Roman"/>
          <w:sz w:val="16"/>
          <w:szCs w:val="16"/>
        </w:rPr>
        <w:t>in</w:t>
      </w:r>
      <w:proofErr w:type="spellEnd"/>
      <w:r w:rsidRPr="00680548">
        <w:rPr>
          <w:rFonts w:ascii="Times New Roman" w:hAnsi="Times New Roman"/>
          <w:sz w:val="16"/>
          <w:szCs w:val="16"/>
        </w:rPr>
        <w:t xml:space="preserve"> </w:t>
      </w:r>
      <w:proofErr w:type="spellStart"/>
      <w:r w:rsidRPr="00680548">
        <w:rPr>
          <w:rFonts w:ascii="Times New Roman" w:hAnsi="Times New Roman"/>
          <w:sz w:val="16"/>
          <w:szCs w:val="16"/>
        </w:rPr>
        <w:t>Bulgaria</w:t>
      </w:r>
      <w:proofErr w:type="spellEnd"/>
      <w:r w:rsidRPr="00680548">
        <w:rPr>
          <w:rFonts w:ascii="Times New Roman" w:hAnsi="Times New Roman"/>
          <w:sz w:val="16"/>
          <w:szCs w:val="16"/>
        </w:rPr>
        <w:t>, ЕС, 2018.</w:t>
      </w:r>
    </w:p>
  </w:footnote>
  <w:footnote w:id="59">
    <w:p w:rsidR="00D20631" w:rsidRPr="009925BA" w:rsidRDefault="00D20631" w:rsidP="00AE0F90">
      <w:pPr>
        <w:pStyle w:val="FootnoteText"/>
        <w:rPr>
          <w:rFonts w:ascii="Times New Roman" w:hAnsi="Times New Roman"/>
          <w:sz w:val="16"/>
          <w:szCs w:val="16"/>
        </w:rPr>
      </w:pPr>
      <w:r w:rsidRPr="009925BA">
        <w:rPr>
          <w:rStyle w:val="FootnoteReference"/>
          <w:rFonts w:ascii="Times New Roman" w:hAnsi="Times New Roman"/>
          <w:sz w:val="16"/>
          <w:szCs w:val="16"/>
        </w:rPr>
        <w:footnoteRef/>
      </w:r>
      <w:r w:rsidRPr="009925BA">
        <w:rPr>
          <w:rFonts w:ascii="Times New Roman" w:hAnsi="Times New Roman"/>
          <w:sz w:val="16"/>
          <w:szCs w:val="16"/>
        </w:rPr>
        <w:t xml:space="preserve"> </w:t>
      </w:r>
      <w:r w:rsidRPr="009925BA">
        <w:rPr>
          <w:rFonts w:ascii="Times New Roman" w:hAnsi="Times New Roman"/>
          <w:sz w:val="16"/>
          <w:szCs w:val="16"/>
        </w:rPr>
        <w:t>в еквивалент на пълно работно време</w:t>
      </w:r>
      <w:r>
        <w:rPr>
          <w:rFonts w:ascii="Times New Roman" w:hAnsi="Times New Roman"/>
          <w:sz w:val="16"/>
          <w:szCs w:val="16"/>
        </w:rPr>
        <w:t>.</w:t>
      </w:r>
    </w:p>
  </w:footnote>
  <w:footnote w:id="60">
    <w:p w:rsidR="00D20631" w:rsidRPr="009B2D23" w:rsidRDefault="00D20631" w:rsidP="00AE0F90">
      <w:pPr>
        <w:pStyle w:val="FootnoteText"/>
        <w:rPr>
          <w:rFonts w:ascii="Times New Roman" w:hAnsi="Times New Roman"/>
          <w:sz w:val="16"/>
          <w:szCs w:val="16"/>
        </w:rPr>
      </w:pPr>
      <w:r w:rsidRPr="009B2D23">
        <w:rPr>
          <w:rStyle w:val="FootnoteReference"/>
          <w:rFonts w:ascii="Times New Roman" w:hAnsi="Times New Roman"/>
          <w:sz w:val="16"/>
          <w:szCs w:val="16"/>
        </w:rPr>
        <w:footnoteRef/>
      </w:r>
      <w:r w:rsidRPr="009B2D23">
        <w:rPr>
          <w:rFonts w:ascii="Times New Roman" w:hAnsi="Times New Roman"/>
          <w:sz w:val="16"/>
          <w:szCs w:val="16"/>
        </w:rPr>
        <w:t xml:space="preserve"> </w:t>
      </w:r>
      <w:r w:rsidRPr="009B2D23">
        <w:rPr>
          <w:rFonts w:ascii="Times New Roman" w:hAnsi="Times New Roman"/>
          <w:sz w:val="16"/>
          <w:szCs w:val="16"/>
        </w:rPr>
        <w:t>По данни на европейското патентно ведомство за 2017 г.</w:t>
      </w:r>
    </w:p>
  </w:footnote>
  <w:footnote w:id="61">
    <w:p w:rsidR="00D20631" w:rsidRPr="0052650D" w:rsidRDefault="00D20631" w:rsidP="00AE0F90">
      <w:pPr>
        <w:pStyle w:val="FootnoteText"/>
        <w:rPr>
          <w:rFonts w:ascii="Times New Roman" w:hAnsi="Times New Roman"/>
          <w:sz w:val="16"/>
          <w:szCs w:val="16"/>
        </w:rPr>
      </w:pPr>
      <w:r w:rsidRPr="0052650D">
        <w:rPr>
          <w:rStyle w:val="FootnoteReference"/>
          <w:rFonts w:ascii="Times New Roman" w:hAnsi="Times New Roman"/>
          <w:sz w:val="16"/>
          <w:szCs w:val="16"/>
        </w:rPr>
        <w:footnoteRef/>
      </w:r>
      <w:r w:rsidRPr="0052650D">
        <w:rPr>
          <w:rFonts w:ascii="Times New Roman" w:hAnsi="Times New Roman"/>
          <w:sz w:val="16"/>
          <w:szCs w:val="16"/>
        </w:rPr>
        <w:t xml:space="preserve"> </w:t>
      </w:r>
      <w:r w:rsidRPr="0052650D">
        <w:rPr>
          <w:rFonts w:ascii="Times New Roman" w:hAnsi="Times New Roman"/>
          <w:sz w:val="16"/>
          <w:szCs w:val="16"/>
        </w:rPr>
        <w:t>Национална стратегия за развитие на научните изследвания в Република България 2017 – 2030 г.</w:t>
      </w:r>
    </w:p>
  </w:footnote>
  <w:footnote w:id="62">
    <w:p w:rsidR="00D20631" w:rsidRPr="0008501D" w:rsidRDefault="00D20631" w:rsidP="00AE0F90">
      <w:pPr>
        <w:pStyle w:val="FootnoteText"/>
        <w:rPr>
          <w:rFonts w:ascii="Times New Roman" w:hAnsi="Times New Roman"/>
          <w:sz w:val="16"/>
          <w:szCs w:val="16"/>
        </w:rPr>
      </w:pPr>
      <w:r w:rsidRPr="0008501D">
        <w:rPr>
          <w:rStyle w:val="FootnoteReference"/>
          <w:rFonts w:ascii="Times New Roman" w:hAnsi="Times New Roman"/>
          <w:sz w:val="16"/>
          <w:szCs w:val="16"/>
        </w:rPr>
        <w:footnoteRef/>
      </w:r>
      <w:r w:rsidRPr="0008501D">
        <w:rPr>
          <w:rFonts w:ascii="Times New Roman" w:hAnsi="Times New Roman"/>
          <w:sz w:val="16"/>
          <w:szCs w:val="16"/>
        </w:rPr>
        <w:t xml:space="preserve"> </w:t>
      </w:r>
      <w:r w:rsidRPr="0008501D">
        <w:rPr>
          <w:rFonts w:ascii="Times New Roman" w:hAnsi="Times New Roman"/>
          <w:sz w:val="16"/>
          <w:szCs w:val="16"/>
        </w:rPr>
        <w:t>Национална стратегия за развитие на научните изследвания в Република България 2017 – 2030 г.</w:t>
      </w:r>
    </w:p>
  </w:footnote>
  <w:footnote w:id="63">
    <w:p w:rsidR="00D20631" w:rsidRPr="00CC001B" w:rsidRDefault="00D20631" w:rsidP="00AE0F90">
      <w:pPr>
        <w:pStyle w:val="FootnoteText"/>
        <w:rPr>
          <w:rFonts w:ascii="Times New Roman" w:hAnsi="Times New Roman"/>
          <w:sz w:val="16"/>
          <w:szCs w:val="16"/>
        </w:rPr>
      </w:pPr>
      <w:r w:rsidRPr="00CC001B">
        <w:rPr>
          <w:rStyle w:val="FootnoteReference"/>
          <w:rFonts w:ascii="Times New Roman" w:hAnsi="Times New Roman"/>
          <w:sz w:val="16"/>
          <w:szCs w:val="16"/>
        </w:rPr>
        <w:footnoteRef/>
      </w:r>
      <w:r w:rsidRPr="00CC001B">
        <w:rPr>
          <w:rFonts w:ascii="Times New Roman" w:hAnsi="Times New Roman"/>
          <w:sz w:val="16"/>
          <w:szCs w:val="16"/>
        </w:rPr>
        <w:t xml:space="preserve"> </w:t>
      </w:r>
      <w:r w:rsidRPr="00CC001B">
        <w:rPr>
          <w:rFonts w:ascii="Times New Roman" w:hAnsi="Times New Roman"/>
          <w:sz w:val="16"/>
          <w:szCs w:val="16"/>
        </w:rPr>
        <w:t>Актуализация 2017 г.</w:t>
      </w:r>
    </w:p>
  </w:footnote>
  <w:footnote w:id="64">
    <w:p w:rsidR="00D20631" w:rsidRPr="002046CF" w:rsidRDefault="00D20631" w:rsidP="00AE0F90">
      <w:pPr>
        <w:pStyle w:val="FootnoteText"/>
        <w:rPr>
          <w:rFonts w:ascii="Times New Roman" w:hAnsi="Times New Roman"/>
          <w:sz w:val="16"/>
          <w:szCs w:val="16"/>
        </w:rPr>
      </w:pPr>
      <w:r w:rsidRPr="002046CF">
        <w:rPr>
          <w:rStyle w:val="FootnoteReference"/>
          <w:rFonts w:ascii="Times New Roman" w:hAnsi="Times New Roman"/>
          <w:sz w:val="16"/>
          <w:szCs w:val="16"/>
        </w:rPr>
        <w:footnoteRef/>
      </w:r>
      <w:r w:rsidRPr="002046CF">
        <w:rPr>
          <w:rFonts w:ascii="Times New Roman" w:hAnsi="Times New Roman"/>
          <w:sz w:val="16"/>
          <w:szCs w:val="16"/>
        </w:rPr>
        <w:t xml:space="preserve"> </w:t>
      </w:r>
      <w:r w:rsidRPr="002046CF">
        <w:rPr>
          <w:rFonts w:ascii="Times New Roman" w:hAnsi="Times New Roman"/>
          <w:sz w:val="16"/>
          <w:szCs w:val="16"/>
        </w:rPr>
        <w:t>Диагностичен преглед на научната инфраструктура и оборудване в Република България</w:t>
      </w:r>
      <w:r>
        <w:rPr>
          <w:rFonts w:ascii="Times New Roman" w:hAnsi="Times New Roman"/>
          <w:sz w:val="16"/>
          <w:szCs w:val="16"/>
        </w:rPr>
        <w:t>, МОН.</w:t>
      </w:r>
    </w:p>
  </w:footnote>
  <w:footnote w:id="65">
    <w:p w:rsidR="00D20631" w:rsidRPr="00DA0F0A" w:rsidRDefault="00D20631" w:rsidP="00AE0F90">
      <w:pPr>
        <w:pStyle w:val="FootnoteText"/>
        <w:rPr>
          <w:rFonts w:ascii="Times New Roman" w:hAnsi="Times New Roman"/>
          <w:sz w:val="16"/>
          <w:szCs w:val="16"/>
        </w:rPr>
      </w:pPr>
      <w:r w:rsidRPr="00DA0F0A">
        <w:rPr>
          <w:rStyle w:val="FootnoteReference"/>
          <w:rFonts w:ascii="Times New Roman" w:hAnsi="Times New Roman"/>
          <w:sz w:val="16"/>
          <w:szCs w:val="16"/>
        </w:rPr>
        <w:footnoteRef/>
      </w:r>
      <w:r w:rsidRPr="00DA0F0A">
        <w:rPr>
          <w:rFonts w:ascii="Times New Roman" w:hAnsi="Times New Roman"/>
          <w:sz w:val="16"/>
          <w:szCs w:val="16"/>
        </w:rPr>
        <w:t xml:space="preserve"> </w:t>
      </w:r>
      <w:r w:rsidRPr="00DA0F0A">
        <w:rPr>
          <w:rFonts w:ascii="Times New Roman" w:hAnsi="Times New Roman"/>
          <w:sz w:val="16"/>
          <w:szCs w:val="16"/>
        </w:rPr>
        <w:t>Национална програма „</w:t>
      </w:r>
      <w:r w:rsidRPr="003C5277">
        <w:rPr>
          <w:rFonts w:ascii="Times New Roman" w:hAnsi="Times New Roman"/>
          <w:i/>
          <w:sz w:val="16"/>
          <w:szCs w:val="16"/>
        </w:rPr>
        <w:t>Цифрова България 2025</w:t>
      </w:r>
      <w:r w:rsidRPr="00DA0F0A">
        <w:rPr>
          <w:rFonts w:ascii="Times New Roman" w:hAnsi="Times New Roman"/>
          <w:sz w:val="16"/>
          <w:szCs w:val="16"/>
        </w:rPr>
        <w:t>“</w:t>
      </w:r>
      <w:r>
        <w:rPr>
          <w:rFonts w:ascii="Times New Roman" w:hAnsi="Times New Roman"/>
          <w:sz w:val="16"/>
          <w:szCs w:val="16"/>
        </w:rPr>
        <w:t>.</w:t>
      </w:r>
    </w:p>
  </w:footnote>
  <w:footnote w:id="66">
    <w:p w:rsidR="00D20631" w:rsidRPr="003C5277" w:rsidRDefault="00D20631" w:rsidP="00AE0F90">
      <w:pPr>
        <w:pStyle w:val="FootnoteText"/>
        <w:rPr>
          <w:rFonts w:ascii="Times New Roman" w:hAnsi="Times New Roman"/>
          <w:sz w:val="16"/>
          <w:szCs w:val="16"/>
        </w:rPr>
      </w:pPr>
      <w:r w:rsidRPr="003C5277">
        <w:rPr>
          <w:rStyle w:val="FootnoteReference"/>
          <w:rFonts w:ascii="Times New Roman" w:hAnsi="Times New Roman"/>
          <w:sz w:val="16"/>
          <w:szCs w:val="16"/>
        </w:rPr>
        <w:footnoteRef/>
      </w:r>
      <w:r w:rsidRPr="003C5277">
        <w:rPr>
          <w:rFonts w:ascii="Times New Roman" w:hAnsi="Times New Roman"/>
          <w:sz w:val="16"/>
          <w:szCs w:val="16"/>
        </w:rPr>
        <w:t xml:space="preserve"> </w:t>
      </w:r>
      <w:r w:rsidRPr="003C5277">
        <w:rPr>
          <w:rFonts w:ascii="Times New Roman" w:hAnsi="Times New Roman"/>
          <w:sz w:val="16"/>
          <w:szCs w:val="16"/>
        </w:rPr>
        <w:t>По данни на БНБ.</w:t>
      </w:r>
    </w:p>
  </w:footnote>
  <w:footnote w:id="67">
    <w:p w:rsidR="00D20631" w:rsidRPr="00571897" w:rsidRDefault="00D20631" w:rsidP="00AE0F90">
      <w:pPr>
        <w:pStyle w:val="FootnoteText"/>
        <w:rPr>
          <w:rFonts w:ascii="Times New Roman" w:hAnsi="Times New Roman"/>
          <w:sz w:val="16"/>
          <w:szCs w:val="16"/>
        </w:rPr>
      </w:pPr>
      <w:r w:rsidRPr="00571897">
        <w:rPr>
          <w:rStyle w:val="FootnoteReference"/>
          <w:rFonts w:ascii="Times New Roman" w:hAnsi="Times New Roman"/>
          <w:sz w:val="16"/>
          <w:szCs w:val="16"/>
        </w:rPr>
        <w:footnoteRef/>
      </w:r>
      <w:r w:rsidRPr="00571897">
        <w:rPr>
          <w:rFonts w:ascii="Times New Roman" w:hAnsi="Times New Roman"/>
          <w:sz w:val="16"/>
          <w:szCs w:val="16"/>
        </w:rPr>
        <w:t xml:space="preserve"> </w:t>
      </w:r>
      <w:r w:rsidRPr="0031243C">
        <w:rPr>
          <w:rFonts w:ascii="Times New Roman" w:hAnsi="Times New Roman"/>
          <w:i/>
          <w:sz w:val="16"/>
          <w:szCs w:val="16"/>
        </w:rPr>
        <w:t>DESI 2018</w:t>
      </w:r>
      <w:r w:rsidRPr="00571897">
        <w:rPr>
          <w:rFonts w:ascii="Times New Roman" w:hAnsi="Times New Roman"/>
          <w:sz w:val="16"/>
          <w:szCs w:val="16"/>
        </w:rPr>
        <w:t>, ЕК.</w:t>
      </w:r>
    </w:p>
  </w:footnote>
  <w:footnote w:id="68">
    <w:p w:rsidR="00D20631" w:rsidRPr="00FB6937" w:rsidRDefault="00D20631" w:rsidP="00AE0F90">
      <w:pPr>
        <w:pStyle w:val="FootnoteText"/>
        <w:rPr>
          <w:rFonts w:ascii="Times New Roman" w:hAnsi="Times New Roman"/>
          <w:sz w:val="16"/>
          <w:szCs w:val="16"/>
        </w:rPr>
      </w:pPr>
      <w:r w:rsidRPr="00FB6937">
        <w:rPr>
          <w:rStyle w:val="FootnoteReference"/>
          <w:rFonts w:ascii="Times New Roman" w:hAnsi="Times New Roman"/>
          <w:sz w:val="16"/>
          <w:szCs w:val="16"/>
        </w:rPr>
        <w:footnoteRef/>
      </w:r>
      <w:r w:rsidRPr="00FB6937">
        <w:rPr>
          <w:rFonts w:ascii="Times New Roman" w:hAnsi="Times New Roman"/>
          <w:sz w:val="16"/>
          <w:szCs w:val="16"/>
        </w:rPr>
        <w:t xml:space="preserve"> </w:t>
      </w:r>
      <w:r w:rsidRPr="00FB6937">
        <w:rPr>
          <w:rFonts w:ascii="Times New Roman" w:hAnsi="Times New Roman"/>
          <w:sz w:val="16"/>
          <w:szCs w:val="16"/>
        </w:rPr>
        <w:t xml:space="preserve">Едва 6% от </w:t>
      </w:r>
      <w:proofErr w:type="spellStart"/>
      <w:r w:rsidRPr="00FB6937">
        <w:rPr>
          <w:rFonts w:ascii="Times New Roman" w:hAnsi="Times New Roman"/>
          <w:sz w:val="16"/>
          <w:szCs w:val="16"/>
        </w:rPr>
        <w:t>квартила</w:t>
      </w:r>
      <w:proofErr w:type="spellEnd"/>
      <w:r w:rsidRPr="00FB6937">
        <w:rPr>
          <w:rFonts w:ascii="Times New Roman" w:hAnsi="Times New Roman"/>
          <w:sz w:val="16"/>
          <w:szCs w:val="16"/>
        </w:rPr>
        <w:t xml:space="preserve"> с най-ниски доходи има поне базисно ниво на умения в областта на цифровите технологии</w:t>
      </w:r>
      <w:r>
        <w:rPr>
          <w:rFonts w:ascii="Times New Roman" w:hAnsi="Times New Roman"/>
          <w:sz w:val="16"/>
          <w:szCs w:val="16"/>
        </w:rPr>
        <w:t>, сравнено с 41% средно за ЕС.</w:t>
      </w:r>
    </w:p>
  </w:footnote>
  <w:footnote w:id="69">
    <w:p w:rsidR="00D20631" w:rsidRPr="008457A2" w:rsidRDefault="00D20631" w:rsidP="00AE0F90">
      <w:pPr>
        <w:pStyle w:val="FootnoteText"/>
        <w:rPr>
          <w:rFonts w:ascii="Times New Roman" w:hAnsi="Times New Roman"/>
          <w:sz w:val="16"/>
          <w:szCs w:val="16"/>
        </w:rPr>
      </w:pPr>
      <w:r w:rsidRPr="008457A2">
        <w:rPr>
          <w:rStyle w:val="FootnoteReference"/>
          <w:rFonts w:ascii="Times New Roman" w:hAnsi="Times New Roman"/>
          <w:sz w:val="16"/>
          <w:szCs w:val="16"/>
        </w:rPr>
        <w:footnoteRef/>
      </w:r>
      <w:r w:rsidRPr="008457A2">
        <w:rPr>
          <w:rFonts w:ascii="Times New Roman" w:hAnsi="Times New Roman"/>
          <w:sz w:val="16"/>
          <w:szCs w:val="16"/>
        </w:rPr>
        <w:t xml:space="preserve"> </w:t>
      </w:r>
      <w:r w:rsidRPr="008457A2">
        <w:rPr>
          <w:rFonts w:ascii="Times New Roman" w:hAnsi="Times New Roman"/>
          <w:sz w:val="16"/>
          <w:szCs w:val="16"/>
        </w:rPr>
        <w:t>10% от населението с ниско или никакво образование има поне базисно ниво на умения в областта на цифровите технологии, сравнено с 31% средно за ЕС.</w:t>
      </w:r>
    </w:p>
  </w:footnote>
  <w:footnote w:id="70">
    <w:p w:rsidR="00D20631" w:rsidRPr="008457A2" w:rsidRDefault="00D20631" w:rsidP="00AE0F90">
      <w:pPr>
        <w:pStyle w:val="FootnoteText"/>
        <w:rPr>
          <w:rFonts w:ascii="Times New Roman" w:hAnsi="Times New Roman"/>
          <w:sz w:val="16"/>
          <w:szCs w:val="16"/>
        </w:rPr>
      </w:pPr>
      <w:r w:rsidRPr="008457A2">
        <w:rPr>
          <w:rStyle w:val="FootnoteReference"/>
          <w:rFonts w:ascii="Times New Roman" w:hAnsi="Times New Roman"/>
          <w:sz w:val="16"/>
          <w:szCs w:val="16"/>
        </w:rPr>
        <w:footnoteRef/>
      </w:r>
      <w:r w:rsidRPr="008457A2">
        <w:rPr>
          <w:rFonts w:ascii="Times New Roman" w:hAnsi="Times New Roman"/>
          <w:sz w:val="16"/>
          <w:szCs w:val="16"/>
        </w:rPr>
        <w:t xml:space="preserve"> </w:t>
      </w:r>
      <w:r w:rsidRPr="008457A2">
        <w:rPr>
          <w:rFonts w:ascii="Times New Roman" w:hAnsi="Times New Roman"/>
          <w:sz w:val="16"/>
          <w:szCs w:val="16"/>
        </w:rPr>
        <w:t xml:space="preserve">15% от населението в </w:t>
      </w:r>
      <w:proofErr w:type="spellStart"/>
      <w:r w:rsidRPr="008457A2">
        <w:rPr>
          <w:rFonts w:ascii="Times New Roman" w:hAnsi="Times New Roman"/>
          <w:sz w:val="16"/>
          <w:szCs w:val="16"/>
        </w:rPr>
        <w:t>слабонаселените</w:t>
      </w:r>
      <w:proofErr w:type="spellEnd"/>
      <w:r w:rsidRPr="008457A2">
        <w:rPr>
          <w:rFonts w:ascii="Times New Roman" w:hAnsi="Times New Roman"/>
          <w:sz w:val="16"/>
          <w:szCs w:val="16"/>
        </w:rPr>
        <w:t xml:space="preserve"> райони на страната има поне базисно ниво на умения в областта на цифровите технологии, сравнено с 49% средно за ЕС.</w:t>
      </w:r>
    </w:p>
  </w:footnote>
  <w:footnote w:id="71">
    <w:p w:rsidR="00D20631" w:rsidRPr="006A6AE1" w:rsidRDefault="00D20631" w:rsidP="00AE0F90">
      <w:pPr>
        <w:pStyle w:val="FootnoteText"/>
        <w:rPr>
          <w:rFonts w:ascii="Times New Roman" w:hAnsi="Times New Roman"/>
          <w:sz w:val="16"/>
          <w:szCs w:val="16"/>
        </w:rPr>
      </w:pPr>
      <w:r w:rsidRPr="006A6AE1">
        <w:rPr>
          <w:rStyle w:val="FootnoteReference"/>
          <w:rFonts w:ascii="Times New Roman" w:hAnsi="Times New Roman"/>
          <w:sz w:val="16"/>
          <w:szCs w:val="16"/>
        </w:rPr>
        <w:footnoteRef/>
      </w:r>
      <w:r w:rsidRPr="006A6AE1">
        <w:rPr>
          <w:rFonts w:ascii="Times New Roman" w:hAnsi="Times New Roman"/>
          <w:sz w:val="16"/>
          <w:szCs w:val="16"/>
        </w:rPr>
        <w:t xml:space="preserve"> </w:t>
      </w:r>
      <w:r w:rsidRPr="006A6AE1">
        <w:rPr>
          <w:rFonts w:ascii="Times New Roman" w:hAnsi="Times New Roman"/>
          <w:sz w:val="16"/>
          <w:szCs w:val="16"/>
        </w:rPr>
        <w:t>На възраст 16-74 години.</w:t>
      </w:r>
    </w:p>
  </w:footnote>
  <w:footnote w:id="72">
    <w:p w:rsidR="00D20631" w:rsidRPr="00571897" w:rsidRDefault="00D20631" w:rsidP="00AE0F90">
      <w:pPr>
        <w:pStyle w:val="FootnoteText"/>
        <w:rPr>
          <w:rFonts w:ascii="Times New Roman" w:hAnsi="Times New Roman"/>
          <w:sz w:val="16"/>
          <w:szCs w:val="16"/>
        </w:rPr>
      </w:pPr>
      <w:r w:rsidRPr="00571897">
        <w:rPr>
          <w:rStyle w:val="FootnoteReference"/>
          <w:rFonts w:ascii="Times New Roman" w:hAnsi="Times New Roman"/>
          <w:sz w:val="16"/>
          <w:szCs w:val="16"/>
        </w:rPr>
        <w:footnoteRef/>
      </w:r>
      <w:r w:rsidRPr="00571897">
        <w:rPr>
          <w:rFonts w:ascii="Times New Roman" w:hAnsi="Times New Roman"/>
          <w:sz w:val="16"/>
          <w:szCs w:val="16"/>
        </w:rPr>
        <w:t xml:space="preserve"> </w:t>
      </w:r>
      <w:r w:rsidRPr="0031243C">
        <w:rPr>
          <w:rFonts w:ascii="Times New Roman" w:hAnsi="Times New Roman"/>
          <w:i/>
          <w:sz w:val="16"/>
          <w:szCs w:val="16"/>
        </w:rPr>
        <w:t>DESI 2018</w:t>
      </w:r>
      <w:r w:rsidRPr="00571897">
        <w:rPr>
          <w:rFonts w:ascii="Times New Roman" w:hAnsi="Times New Roman"/>
          <w:sz w:val="16"/>
          <w:szCs w:val="16"/>
        </w:rPr>
        <w:t>, ЕК.</w:t>
      </w:r>
    </w:p>
  </w:footnote>
  <w:footnote w:id="73">
    <w:p w:rsidR="00D20631" w:rsidRPr="00462B88" w:rsidRDefault="00D20631" w:rsidP="00AE0F90">
      <w:pPr>
        <w:pStyle w:val="FootnoteText"/>
        <w:rPr>
          <w:rFonts w:ascii="Times New Roman" w:hAnsi="Times New Roman"/>
          <w:sz w:val="16"/>
          <w:szCs w:val="16"/>
        </w:rPr>
      </w:pPr>
      <w:r w:rsidRPr="00462B88">
        <w:rPr>
          <w:rStyle w:val="FootnoteReference"/>
          <w:rFonts w:ascii="Times New Roman" w:hAnsi="Times New Roman"/>
          <w:sz w:val="16"/>
          <w:szCs w:val="16"/>
        </w:rPr>
        <w:footnoteRef/>
      </w:r>
      <w:r w:rsidRPr="00462B88">
        <w:rPr>
          <w:rFonts w:ascii="Times New Roman" w:hAnsi="Times New Roman"/>
          <w:sz w:val="16"/>
          <w:szCs w:val="16"/>
        </w:rPr>
        <w:t xml:space="preserve"> </w:t>
      </w:r>
      <w:r w:rsidRPr="00462B88">
        <w:rPr>
          <w:rFonts w:ascii="Times New Roman" w:hAnsi="Times New Roman"/>
          <w:sz w:val="16"/>
          <w:szCs w:val="16"/>
        </w:rPr>
        <w:t>Доклад за България за 2018 г., включващ задълбочен преглед относно предотвратяването и коригирането на макроикономическите дисбаланси, ЕК.</w:t>
      </w:r>
    </w:p>
  </w:footnote>
  <w:footnote w:id="74">
    <w:p w:rsidR="00D20631" w:rsidRPr="00776F78" w:rsidRDefault="00D20631" w:rsidP="00AE0F90">
      <w:pPr>
        <w:pStyle w:val="FootnoteText"/>
        <w:rPr>
          <w:rFonts w:ascii="Times New Roman" w:hAnsi="Times New Roman"/>
          <w:sz w:val="16"/>
          <w:szCs w:val="16"/>
        </w:rPr>
      </w:pPr>
      <w:r w:rsidRPr="00776F78">
        <w:rPr>
          <w:rStyle w:val="FootnoteReference"/>
          <w:rFonts w:ascii="Times New Roman" w:hAnsi="Times New Roman"/>
          <w:sz w:val="16"/>
          <w:szCs w:val="16"/>
        </w:rPr>
        <w:footnoteRef/>
      </w:r>
      <w:r w:rsidRPr="00776F78">
        <w:rPr>
          <w:rFonts w:ascii="Times New Roman" w:hAnsi="Times New Roman"/>
          <w:sz w:val="16"/>
          <w:szCs w:val="16"/>
        </w:rPr>
        <w:t xml:space="preserve"> </w:t>
      </w:r>
      <w:proofErr w:type="spellStart"/>
      <w:r w:rsidRPr="00776F78">
        <w:rPr>
          <w:rFonts w:ascii="Times New Roman" w:hAnsi="Times New Roman"/>
          <w:sz w:val="16"/>
          <w:szCs w:val="16"/>
        </w:rPr>
        <w:t>Europe’s</w:t>
      </w:r>
      <w:proofErr w:type="spellEnd"/>
      <w:r w:rsidRPr="00776F78">
        <w:rPr>
          <w:rFonts w:ascii="Times New Roman" w:hAnsi="Times New Roman"/>
          <w:sz w:val="16"/>
          <w:szCs w:val="16"/>
        </w:rPr>
        <w:t xml:space="preserve"> </w:t>
      </w:r>
      <w:proofErr w:type="spellStart"/>
      <w:r w:rsidRPr="00776F78">
        <w:rPr>
          <w:rFonts w:ascii="Times New Roman" w:hAnsi="Times New Roman"/>
          <w:sz w:val="16"/>
          <w:szCs w:val="16"/>
        </w:rPr>
        <w:t>Digital</w:t>
      </w:r>
      <w:proofErr w:type="spellEnd"/>
      <w:r w:rsidRPr="00776F78">
        <w:rPr>
          <w:rFonts w:ascii="Times New Roman" w:hAnsi="Times New Roman"/>
          <w:sz w:val="16"/>
          <w:szCs w:val="16"/>
        </w:rPr>
        <w:t xml:space="preserve"> </w:t>
      </w:r>
      <w:proofErr w:type="spellStart"/>
      <w:r w:rsidRPr="00776F78">
        <w:rPr>
          <w:rFonts w:ascii="Times New Roman" w:hAnsi="Times New Roman"/>
          <w:sz w:val="16"/>
          <w:szCs w:val="16"/>
        </w:rPr>
        <w:t>Progress</w:t>
      </w:r>
      <w:proofErr w:type="spellEnd"/>
      <w:r w:rsidRPr="00776F78">
        <w:rPr>
          <w:rFonts w:ascii="Times New Roman" w:hAnsi="Times New Roman"/>
          <w:sz w:val="16"/>
          <w:szCs w:val="16"/>
        </w:rPr>
        <w:t xml:space="preserve"> </w:t>
      </w:r>
      <w:proofErr w:type="spellStart"/>
      <w:r w:rsidRPr="00776F78">
        <w:rPr>
          <w:rFonts w:ascii="Times New Roman" w:hAnsi="Times New Roman"/>
          <w:sz w:val="16"/>
          <w:szCs w:val="16"/>
        </w:rPr>
        <w:t>Report</w:t>
      </w:r>
      <w:proofErr w:type="spellEnd"/>
      <w:r w:rsidRPr="00776F78">
        <w:rPr>
          <w:rFonts w:ascii="Times New Roman" w:hAnsi="Times New Roman"/>
          <w:sz w:val="16"/>
          <w:szCs w:val="16"/>
        </w:rPr>
        <w:t xml:space="preserve"> 2017</w:t>
      </w:r>
      <w:r>
        <w:rPr>
          <w:rFonts w:ascii="Times New Roman" w:hAnsi="Times New Roman"/>
          <w:sz w:val="16"/>
          <w:szCs w:val="16"/>
        </w:rPr>
        <w:t xml:space="preserve">, </w:t>
      </w:r>
      <w:r>
        <w:rPr>
          <w:rFonts w:ascii="Times New Roman" w:hAnsi="Times New Roman"/>
          <w:sz w:val="16"/>
          <w:szCs w:val="16"/>
          <w:lang w:val="en-US"/>
        </w:rPr>
        <w:t>EC</w:t>
      </w:r>
      <w:r w:rsidRPr="00776F78">
        <w:rPr>
          <w:rFonts w:ascii="Times New Roman" w:hAnsi="Times New Roman"/>
          <w:sz w:val="16"/>
          <w:szCs w:val="16"/>
        </w:rPr>
        <w:t>.</w:t>
      </w:r>
    </w:p>
  </w:footnote>
  <w:footnote w:id="75">
    <w:p w:rsidR="00D20631" w:rsidRPr="004E12CC" w:rsidRDefault="00D20631" w:rsidP="00AE0F90">
      <w:pPr>
        <w:pStyle w:val="FootnoteText"/>
        <w:rPr>
          <w:rFonts w:ascii="Times New Roman" w:hAnsi="Times New Roman"/>
          <w:sz w:val="16"/>
          <w:szCs w:val="16"/>
        </w:rPr>
      </w:pPr>
      <w:r w:rsidRPr="004E12CC">
        <w:rPr>
          <w:rStyle w:val="FootnoteReference"/>
          <w:rFonts w:ascii="Times New Roman" w:hAnsi="Times New Roman"/>
          <w:sz w:val="16"/>
          <w:szCs w:val="16"/>
        </w:rPr>
        <w:footnoteRef/>
      </w:r>
      <w:r w:rsidRPr="004E12CC">
        <w:rPr>
          <w:rFonts w:ascii="Times New Roman" w:hAnsi="Times New Roman"/>
          <w:sz w:val="16"/>
          <w:szCs w:val="16"/>
        </w:rPr>
        <w:t xml:space="preserve"> </w:t>
      </w:r>
      <w:r w:rsidRPr="004E12CC">
        <w:rPr>
          <w:rFonts w:ascii="Times New Roman" w:hAnsi="Times New Roman"/>
          <w:sz w:val="16"/>
          <w:szCs w:val="16"/>
        </w:rPr>
        <w:t>DESI 2018, ЕК.</w:t>
      </w:r>
    </w:p>
  </w:footnote>
  <w:footnote w:id="76">
    <w:p w:rsidR="00D20631" w:rsidRPr="00D02A2C" w:rsidRDefault="00D20631" w:rsidP="00AE0F90">
      <w:pPr>
        <w:pStyle w:val="FootnoteText"/>
        <w:rPr>
          <w:rFonts w:ascii="Times New Roman" w:hAnsi="Times New Roman"/>
          <w:sz w:val="16"/>
          <w:szCs w:val="16"/>
        </w:rPr>
      </w:pPr>
      <w:r w:rsidRPr="00D02A2C">
        <w:rPr>
          <w:rStyle w:val="FootnoteReference"/>
          <w:rFonts w:ascii="Times New Roman" w:hAnsi="Times New Roman"/>
          <w:sz w:val="16"/>
          <w:szCs w:val="16"/>
        </w:rPr>
        <w:footnoteRef/>
      </w:r>
      <w:r w:rsidRPr="00D02A2C">
        <w:rPr>
          <w:rFonts w:ascii="Times New Roman" w:hAnsi="Times New Roman"/>
          <w:sz w:val="16"/>
          <w:szCs w:val="16"/>
        </w:rPr>
        <w:t xml:space="preserve"> </w:t>
      </w:r>
      <w:r w:rsidRPr="00D02A2C">
        <w:rPr>
          <w:rFonts w:ascii="Times New Roman" w:hAnsi="Times New Roman"/>
          <w:sz w:val="16"/>
          <w:szCs w:val="16"/>
        </w:rPr>
        <w:t>Показателят отразява възприятията за качеството на обществените услуги, качеството на държавната служба и степента на нейната независимост от политически натиск, качеството на формулирането и изпълнението на политиките и надеждността на ангажимента на правителството за такива политики.</w:t>
      </w:r>
    </w:p>
  </w:footnote>
  <w:footnote w:id="77">
    <w:p w:rsidR="00D20631" w:rsidRPr="00207C3C" w:rsidRDefault="00D20631" w:rsidP="00AE0F90">
      <w:pPr>
        <w:pStyle w:val="FootnoteText"/>
        <w:rPr>
          <w:rFonts w:ascii="Times New Roman" w:hAnsi="Times New Roman"/>
          <w:sz w:val="16"/>
          <w:szCs w:val="16"/>
        </w:rPr>
      </w:pPr>
      <w:r w:rsidRPr="00207C3C">
        <w:rPr>
          <w:rStyle w:val="FootnoteReference"/>
          <w:rFonts w:ascii="Times New Roman" w:hAnsi="Times New Roman"/>
          <w:sz w:val="16"/>
          <w:szCs w:val="16"/>
        </w:rPr>
        <w:footnoteRef/>
      </w:r>
      <w:r w:rsidRPr="00207C3C">
        <w:rPr>
          <w:rFonts w:ascii="Times New Roman" w:hAnsi="Times New Roman"/>
          <w:sz w:val="16"/>
          <w:szCs w:val="16"/>
        </w:rPr>
        <w:t xml:space="preserve"> </w:t>
      </w:r>
      <w:r w:rsidRPr="00207C3C">
        <w:rPr>
          <w:rFonts w:ascii="Times New Roman" w:hAnsi="Times New Roman"/>
          <w:sz w:val="16"/>
          <w:szCs w:val="16"/>
        </w:rPr>
        <w:t>Отразява възприятията за степента, до която гражданите на дадена страна могат да участват в избора на правителството, както и свободата на изразяване, свободата на сдружаване и свободните медии.</w:t>
      </w:r>
    </w:p>
  </w:footnote>
  <w:footnote w:id="78">
    <w:p w:rsidR="00D20631" w:rsidRPr="00DE163C" w:rsidRDefault="00D20631" w:rsidP="00AE0F90">
      <w:pPr>
        <w:pStyle w:val="FootnoteText"/>
        <w:rPr>
          <w:rFonts w:ascii="Times New Roman" w:hAnsi="Times New Roman"/>
          <w:sz w:val="16"/>
          <w:szCs w:val="16"/>
        </w:rPr>
      </w:pPr>
      <w:r w:rsidRPr="00DE163C">
        <w:rPr>
          <w:rStyle w:val="FootnoteReference"/>
          <w:rFonts w:ascii="Times New Roman" w:hAnsi="Times New Roman"/>
          <w:sz w:val="16"/>
          <w:szCs w:val="16"/>
        </w:rPr>
        <w:footnoteRef/>
      </w:r>
      <w:r w:rsidRPr="00DE163C">
        <w:rPr>
          <w:rFonts w:ascii="Times New Roman" w:hAnsi="Times New Roman"/>
          <w:sz w:val="16"/>
          <w:szCs w:val="16"/>
        </w:rPr>
        <w:t xml:space="preserve"> </w:t>
      </w:r>
      <w:r>
        <w:rPr>
          <w:rFonts w:ascii="Times New Roman" w:hAnsi="Times New Roman"/>
          <w:sz w:val="16"/>
          <w:szCs w:val="16"/>
        </w:rPr>
        <w:t>Тригодишен п</w:t>
      </w:r>
      <w:r w:rsidRPr="00DE163C">
        <w:rPr>
          <w:rFonts w:ascii="Times New Roman" w:hAnsi="Times New Roman"/>
          <w:sz w:val="16"/>
          <w:szCs w:val="16"/>
        </w:rPr>
        <w:t>лан за действие за изпълнението на Националната програма за развитие: България 2020 в периода 2018-2020 г.</w:t>
      </w:r>
    </w:p>
  </w:footnote>
  <w:footnote w:id="79">
    <w:p w:rsidR="00D20631" w:rsidRPr="00C06E39" w:rsidRDefault="00D20631" w:rsidP="00AE0F90">
      <w:pPr>
        <w:pStyle w:val="FootnoteText"/>
        <w:rPr>
          <w:rFonts w:ascii="Times New Roman" w:hAnsi="Times New Roman"/>
          <w:sz w:val="16"/>
          <w:szCs w:val="16"/>
        </w:rPr>
      </w:pPr>
      <w:r w:rsidRPr="00C06E39">
        <w:rPr>
          <w:rStyle w:val="FootnoteReference"/>
          <w:rFonts w:ascii="Times New Roman" w:hAnsi="Times New Roman"/>
          <w:sz w:val="16"/>
          <w:szCs w:val="16"/>
        </w:rPr>
        <w:footnoteRef/>
      </w:r>
      <w:r w:rsidRPr="00C06E39">
        <w:rPr>
          <w:rFonts w:ascii="Times New Roman" w:hAnsi="Times New Roman"/>
          <w:sz w:val="16"/>
          <w:szCs w:val="16"/>
        </w:rPr>
        <w:t xml:space="preserve"> </w:t>
      </w:r>
      <w:r w:rsidRPr="00C06E39">
        <w:rPr>
          <w:rFonts w:ascii="Times New Roman" w:hAnsi="Times New Roman"/>
          <w:sz w:val="16"/>
          <w:szCs w:val="16"/>
        </w:rPr>
        <w:t>Доклад за България за 2018 г., включващ задълбочен преглед относно предотвратяването и коригирането на макроикономическите дисбаланси, ЕК.</w:t>
      </w:r>
    </w:p>
  </w:footnote>
  <w:footnote w:id="80">
    <w:p w:rsidR="00D20631" w:rsidRPr="007B3312" w:rsidRDefault="00D20631" w:rsidP="00AE0F90">
      <w:pPr>
        <w:pStyle w:val="FootnoteText"/>
        <w:rPr>
          <w:rFonts w:ascii="Times New Roman" w:hAnsi="Times New Roman"/>
          <w:sz w:val="16"/>
          <w:szCs w:val="16"/>
        </w:rPr>
      </w:pPr>
      <w:r w:rsidRPr="007B3312">
        <w:rPr>
          <w:rStyle w:val="FootnoteReference"/>
          <w:rFonts w:ascii="Times New Roman" w:hAnsi="Times New Roman"/>
          <w:sz w:val="16"/>
          <w:szCs w:val="16"/>
        </w:rPr>
        <w:footnoteRef/>
      </w:r>
      <w:r w:rsidRPr="007B3312">
        <w:rPr>
          <w:rFonts w:ascii="Times New Roman" w:hAnsi="Times New Roman"/>
          <w:sz w:val="16"/>
          <w:szCs w:val="16"/>
        </w:rPr>
        <w:t xml:space="preserve"> </w:t>
      </w:r>
      <w:r w:rsidRPr="007B3312">
        <w:rPr>
          <w:rFonts w:ascii="Times New Roman" w:hAnsi="Times New Roman"/>
          <w:sz w:val="16"/>
          <w:szCs w:val="16"/>
        </w:rPr>
        <w:t>Анализ на проблемите, възпрепятстващи нарастването на инвестициите, приет с РМС № 617/12.08.2015 г.</w:t>
      </w:r>
    </w:p>
  </w:footnote>
  <w:footnote w:id="81">
    <w:p w:rsidR="00D20631" w:rsidRPr="0025487D" w:rsidRDefault="00D20631" w:rsidP="00AE0F90">
      <w:pPr>
        <w:pStyle w:val="FootnoteText"/>
        <w:rPr>
          <w:rFonts w:ascii="Times New Roman" w:hAnsi="Times New Roman"/>
          <w:sz w:val="16"/>
          <w:szCs w:val="16"/>
        </w:rPr>
      </w:pPr>
      <w:r w:rsidRPr="0025487D">
        <w:rPr>
          <w:rStyle w:val="FootnoteReference"/>
          <w:rFonts w:ascii="Times New Roman" w:hAnsi="Times New Roman"/>
          <w:sz w:val="16"/>
          <w:szCs w:val="16"/>
        </w:rPr>
        <w:footnoteRef/>
      </w:r>
      <w:r w:rsidRPr="0025487D">
        <w:rPr>
          <w:rFonts w:ascii="Times New Roman" w:hAnsi="Times New Roman"/>
          <w:sz w:val="16"/>
          <w:szCs w:val="16"/>
        </w:rPr>
        <w:t xml:space="preserve"> </w:t>
      </w:r>
      <w:r w:rsidRPr="0025487D">
        <w:rPr>
          <w:rFonts w:ascii="Times New Roman" w:hAnsi="Times New Roman"/>
          <w:sz w:val="16"/>
          <w:szCs w:val="16"/>
        </w:rPr>
        <w:t>Доклад за България за 2018 г., включващ задълбочен преглед относно предотвратяването и коригирането на макроикономическите дисбаланси, ЕК.</w:t>
      </w:r>
    </w:p>
  </w:footnote>
  <w:footnote w:id="82">
    <w:p w:rsidR="00D20631" w:rsidRPr="00696CD9" w:rsidRDefault="00D20631" w:rsidP="00AE0F90">
      <w:pPr>
        <w:pStyle w:val="FootnoteText"/>
        <w:rPr>
          <w:rFonts w:ascii="Times New Roman" w:hAnsi="Times New Roman"/>
          <w:sz w:val="16"/>
          <w:szCs w:val="16"/>
        </w:rPr>
      </w:pPr>
      <w:r w:rsidRPr="00696CD9">
        <w:rPr>
          <w:rStyle w:val="FootnoteReference"/>
          <w:rFonts w:ascii="Times New Roman" w:hAnsi="Times New Roman"/>
          <w:sz w:val="16"/>
          <w:szCs w:val="16"/>
        </w:rPr>
        <w:footnoteRef/>
      </w:r>
      <w:r w:rsidRPr="00696CD9">
        <w:rPr>
          <w:rFonts w:ascii="Times New Roman" w:hAnsi="Times New Roman"/>
          <w:sz w:val="16"/>
          <w:szCs w:val="16"/>
        </w:rPr>
        <w:t xml:space="preserve"> </w:t>
      </w:r>
      <w:r w:rsidRPr="006361E1">
        <w:rPr>
          <w:rFonts w:ascii="Times New Roman" w:hAnsi="Times New Roman"/>
          <w:i/>
          <w:sz w:val="16"/>
          <w:szCs w:val="16"/>
          <w:lang w:val="en-US"/>
        </w:rPr>
        <w:t>DESI</w:t>
      </w:r>
      <w:r w:rsidRPr="006361E1">
        <w:rPr>
          <w:rFonts w:ascii="Times New Roman" w:hAnsi="Times New Roman"/>
          <w:i/>
          <w:sz w:val="16"/>
          <w:szCs w:val="16"/>
        </w:rPr>
        <w:t xml:space="preserve"> 2018</w:t>
      </w:r>
      <w:r>
        <w:rPr>
          <w:rFonts w:ascii="Times New Roman" w:hAnsi="Times New Roman"/>
          <w:sz w:val="16"/>
          <w:szCs w:val="16"/>
        </w:rPr>
        <w:t>, ЕК.</w:t>
      </w:r>
    </w:p>
  </w:footnote>
  <w:footnote w:id="83">
    <w:p w:rsidR="00D20631" w:rsidRPr="0074377B" w:rsidRDefault="00D20631" w:rsidP="00AE0F90">
      <w:pPr>
        <w:pStyle w:val="FootnoteText"/>
        <w:rPr>
          <w:rFonts w:ascii="Times New Roman" w:hAnsi="Times New Roman"/>
          <w:sz w:val="16"/>
          <w:szCs w:val="16"/>
        </w:rPr>
      </w:pPr>
      <w:r w:rsidRPr="0074377B">
        <w:rPr>
          <w:rStyle w:val="FootnoteReference"/>
          <w:rFonts w:ascii="Times New Roman" w:hAnsi="Times New Roman"/>
          <w:sz w:val="16"/>
          <w:szCs w:val="16"/>
        </w:rPr>
        <w:footnoteRef/>
      </w:r>
      <w:r w:rsidRPr="0074377B">
        <w:rPr>
          <w:rFonts w:ascii="Times New Roman" w:hAnsi="Times New Roman"/>
          <w:sz w:val="16"/>
          <w:szCs w:val="16"/>
        </w:rPr>
        <w:t xml:space="preserve"> </w:t>
      </w:r>
      <w:r w:rsidRPr="0074377B">
        <w:rPr>
          <w:rFonts w:ascii="Times New Roman" w:hAnsi="Times New Roman"/>
          <w:sz w:val="16"/>
          <w:szCs w:val="16"/>
        </w:rPr>
        <w:t>Доклад за България за 2017 г., включващ задълбочен преглед относно предотвратяването и коригирането на макроикономическите дисбаланси, ЕК.</w:t>
      </w:r>
    </w:p>
  </w:footnote>
  <w:footnote w:id="84">
    <w:p w:rsidR="00D20631" w:rsidRPr="00863037" w:rsidRDefault="00D20631" w:rsidP="00AE0F90">
      <w:pPr>
        <w:pStyle w:val="FootnoteText"/>
        <w:rPr>
          <w:rFonts w:ascii="Times New Roman" w:hAnsi="Times New Roman"/>
          <w:sz w:val="16"/>
          <w:szCs w:val="16"/>
        </w:rPr>
      </w:pPr>
      <w:r w:rsidRPr="00863037">
        <w:rPr>
          <w:rStyle w:val="FootnoteReference"/>
          <w:rFonts w:ascii="Times New Roman" w:hAnsi="Times New Roman"/>
          <w:sz w:val="16"/>
          <w:szCs w:val="16"/>
        </w:rPr>
        <w:footnoteRef/>
      </w:r>
      <w:r w:rsidRPr="00863037">
        <w:rPr>
          <w:rFonts w:ascii="Times New Roman" w:hAnsi="Times New Roman"/>
          <w:sz w:val="16"/>
          <w:szCs w:val="16"/>
        </w:rPr>
        <w:t xml:space="preserve"> </w:t>
      </w:r>
      <w:r>
        <w:rPr>
          <w:rFonts w:ascii="Times New Roman" w:hAnsi="Times New Roman"/>
          <w:sz w:val="16"/>
          <w:szCs w:val="16"/>
        </w:rPr>
        <w:t>Доклад за България за 2018</w:t>
      </w:r>
      <w:r w:rsidRPr="00863037">
        <w:rPr>
          <w:rFonts w:ascii="Times New Roman" w:hAnsi="Times New Roman"/>
          <w:sz w:val="16"/>
          <w:szCs w:val="16"/>
        </w:rPr>
        <w:t xml:space="preserve"> г., включващ задълбочен преглед относно предотвратяването и коригирането на макроикономическите дисбаланси, ЕК.</w:t>
      </w:r>
    </w:p>
  </w:footnote>
  <w:footnote w:id="85">
    <w:p w:rsidR="00D20631" w:rsidRPr="003E5F59" w:rsidRDefault="00D20631" w:rsidP="00AE0F90">
      <w:pPr>
        <w:pStyle w:val="FootnoteText"/>
        <w:rPr>
          <w:rFonts w:ascii="Times New Roman" w:hAnsi="Times New Roman"/>
          <w:sz w:val="16"/>
          <w:szCs w:val="16"/>
        </w:rPr>
      </w:pPr>
      <w:r w:rsidRPr="003E5F59">
        <w:rPr>
          <w:rStyle w:val="FootnoteReference"/>
          <w:rFonts w:ascii="Times New Roman" w:hAnsi="Times New Roman"/>
          <w:sz w:val="16"/>
          <w:szCs w:val="16"/>
        </w:rPr>
        <w:footnoteRef/>
      </w:r>
      <w:r w:rsidRPr="003E5F59">
        <w:rPr>
          <w:rFonts w:ascii="Times New Roman" w:hAnsi="Times New Roman"/>
          <w:sz w:val="16"/>
          <w:szCs w:val="16"/>
        </w:rPr>
        <w:t xml:space="preserve"> </w:t>
      </w:r>
      <w:r w:rsidRPr="003E5F59">
        <w:rPr>
          <w:rFonts w:ascii="Times New Roman" w:hAnsi="Times New Roman"/>
          <w:sz w:val="16"/>
          <w:szCs w:val="16"/>
        </w:rPr>
        <w:t>Доклад за България за 2018 г., включващ задълбочен преглед относно предотвратяването и коригирането на макроикономическите дисбаланси, ЕК.</w:t>
      </w:r>
    </w:p>
  </w:footnote>
  <w:footnote w:id="86">
    <w:p w:rsidR="00D20631" w:rsidRPr="00572428" w:rsidRDefault="00D20631" w:rsidP="00AE0F90">
      <w:pPr>
        <w:pStyle w:val="FootnoteText"/>
        <w:rPr>
          <w:rFonts w:ascii="Times New Roman" w:hAnsi="Times New Roman"/>
          <w:sz w:val="16"/>
          <w:szCs w:val="16"/>
        </w:rPr>
      </w:pPr>
      <w:r w:rsidRPr="00572428">
        <w:rPr>
          <w:rStyle w:val="FootnoteReference"/>
          <w:rFonts w:ascii="Times New Roman" w:hAnsi="Times New Roman"/>
          <w:sz w:val="16"/>
          <w:szCs w:val="16"/>
        </w:rPr>
        <w:footnoteRef/>
      </w:r>
      <w:r w:rsidRPr="00572428">
        <w:rPr>
          <w:rFonts w:ascii="Times New Roman" w:hAnsi="Times New Roman"/>
          <w:sz w:val="16"/>
          <w:szCs w:val="16"/>
        </w:rPr>
        <w:t xml:space="preserve"> </w:t>
      </w:r>
      <w:r w:rsidRPr="00572428">
        <w:rPr>
          <w:rFonts w:ascii="Times New Roman" w:hAnsi="Times New Roman"/>
          <w:sz w:val="16"/>
          <w:szCs w:val="16"/>
        </w:rPr>
        <w:t xml:space="preserve">Износ на стоки и </w:t>
      </w:r>
      <w:proofErr w:type="spellStart"/>
      <w:r w:rsidRPr="00572428">
        <w:rPr>
          <w:rFonts w:ascii="Times New Roman" w:hAnsi="Times New Roman"/>
          <w:sz w:val="16"/>
          <w:szCs w:val="16"/>
        </w:rPr>
        <w:t>нефакторни</w:t>
      </w:r>
      <w:proofErr w:type="spellEnd"/>
      <w:r w:rsidRPr="00572428">
        <w:rPr>
          <w:rFonts w:ascii="Times New Roman" w:hAnsi="Times New Roman"/>
          <w:sz w:val="16"/>
          <w:szCs w:val="16"/>
        </w:rPr>
        <w:t xml:space="preserve"> услуги.</w:t>
      </w:r>
    </w:p>
  </w:footnote>
  <w:footnote w:id="87">
    <w:p w:rsidR="00D20631" w:rsidRPr="00087B0E" w:rsidRDefault="00D20631" w:rsidP="00AE0F90">
      <w:pPr>
        <w:pStyle w:val="FootnoteText"/>
        <w:rPr>
          <w:rFonts w:ascii="Times New Roman" w:hAnsi="Times New Roman"/>
          <w:sz w:val="16"/>
          <w:szCs w:val="16"/>
        </w:rPr>
      </w:pPr>
      <w:r w:rsidRPr="00087B0E">
        <w:rPr>
          <w:rStyle w:val="FootnoteReference"/>
          <w:rFonts w:ascii="Times New Roman" w:hAnsi="Times New Roman"/>
          <w:sz w:val="16"/>
          <w:szCs w:val="16"/>
        </w:rPr>
        <w:footnoteRef/>
      </w:r>
      <w:r w:rsidRPr="00087B0E">
        <w:rPr>
          <w:rFonts w:ascii="Times New Roman" w:hAnsi="Times New Roman"/>
          <w:sz w:val="16"/>
          <w:szCs w:val="16"/>
        </w:rPr>
        <w:t xml:space="preserve"> </w:t>
      </w:r>
      <w:r w:rsidRPr="00087B0E">
        <w:rPr>
          <w:rFonts w:ascii="Times New Roman" w:hAnsi="Times New Roman"/>
          <w:sz w:val="16"/>
          <w:szCs w:val="16"/>
        </w:rPr>
        <w:t xml:space="preserve">Данните за износа на страната по отделни стокови групи са от базата данни за международна търговия на ООН – UN </w:t>
      </w:r>
      <w:proofErr w:type="spellStart"/>
      <w:r w:rsidRPr="00087B0E">
        <w:rPr>
          <w:rFonts w:ascii="Times New Roman" w:hAnsi="Times New Roman"/>
          <w:sz w:val="16"/>
          <w:szCs w:val="16"/>
        </w:rPr>
        <w:t>Comtrade</w:t>
      </w:r>
      <w:proofErr w:type="spellEnd"/>
      <w:r w:rsidRPr="00087B0E">
        <w:rPr>
          <w:rFonts w:ascii="Times New Roman" w:hAnsi="Times New Roman"/>
          <w:sz w:val="16"/>
          <w:szCs w:val="16"/>
        </w:rPr>
        <w:t xml:space="preserve"> </w:t>
      </w:r>
      <w:proofErr w:type="spellStart"/>
      <w:r w:rsidRPr="00087B0E">
        <w:rPr>
          <w:rFonts w:ascii="Times New Roman" w:hAnsi="Times New Roman"/>
          <w:sz w:val="16"/>
          <w:szCs w:val="16"/>
        </w:rPr>
        <w:t>Database</w:t>
      </w:r>
      <w:proofErr w:type="spellEnd"/>
      <w:r w:rsidRPr="00087B0E">
        <w:rPr>
          <w:rFonts w:ascii="Times New Roman" w:hAnsi="Times New Roman"/>
          <w:sz w:val="16"/>
          <w:szCs w:val="16"/>
        </w:rPr>
        <w:t>.</w:t>
      </w:r>
    </w:p>
  </w:footnote>
  <w:footnote w:id="88">
    <w:p w:rsidR="00D20631" w:rsidRPr="00484C20" w:rsidRDefault="00D20631" w:rsidP="00AE0F90">
      <w:pPr>
        <w:pStyle w:val="FootnoteText"/>
        <w:rPr>
          <w:rFonts w:ascii="Times New Roman" w:hAnsi="Times New Roman"/>
          <w:sz w:val="16"/>
          <w:szCs w:val="16"/>
          <w:lang w:val="en-US"/>
        </w:rPr>
      </w:pPr>
      <w:r w:rsidRPr="00484C20">
        <w:rPr>
          <w:rStyle w:val="FootnoteReference"/>
          <w:rFonts w:ascii="Times New Roman" w:hAnsi="Times New Roman"/>
          <w:sz w:val="16"/>
          <w:szCs w:val="16"/>
        </w:rPr>
        <w:footnoteRef/>
      </w:r>
      <w:r w:rsidRPr="00484C20">
        <w:rPr>
          <w:rFonts w:ascii="Times New Roman" w:hAnsi="Times New Roman"/>
          <w:sz w:val="16"/>
          <w:szCs w:val="16"/>
        </w:rPr>
        <w:t xml:space="preserve"> </w:t>
      </w:r>
      <w:r w:rsidRPr="00484C20">
        <w:rPr>
          <w:rFonts w:ascii="Times New Roman" w:hAnsi="Times New Roman"/>
          <w:sz w:val="16"/>
          <w:szCs w:val="16"/>
        </w:rPr>
        <w:t>За разпределението на продуктите според технологичната интензивност на производството им е използвана класификацията на ОИСР – вж. „</w:t>
      </w:r>
      <w:r w:rsidRPr="00A20855">
        <w:rPr>
          <w:rFonts w:ascii="Times New Roman" w:hAnsi="Times New Roman"/>
          <w:i/>
          <w:sz w:val="16"/>
          <w:szCs w:val="16"/>
        </w:rPr>
        <w:t xml:space="preserve">Science, Technology </w:t>
      </w:r>
      <w:proofErr w:type="spellStart"/>
      <w:r w:rsidRPr="00A20855">
        <w:rPr>
          <w:rFonts w:ascii="Times New Roman" w:hAnsi="Times New Roman"/>
          <w:i/>
          <w:sz w:val="16"/>
          <w:szCs w:val="16"/>
        </w:rPr>
        <w:t>and</w:t>
      </w:r>
      <w:proofErr w:type="spellEnd"/>
      <w:r w:rsidRPr="00A20855">
        <w:rPr>
          <w:rFonts w:ascii="Times New Roman" w:hAnsi="Times New Roman"/>
          <w:i/>
          <w:sz w:val="16"/>
          <w:szCs w:val="16"/>
        </w:rPr>
        <w:t xml:space="preserve"> </w:t>
      </w:r>
      <w:proofErr w:type="spellStart"/>
      <w:r w:rsidRPr="00A20855">
        <w:rPr>
          <w:rFonts w:ascii="Times New Roman" w:hAnsi="Times New Roman"/>
          <w:i/>
          <w:sz w:val="16"/>
          <w:szCs w:val="16"/>
        </w:rPr>
        <w:t>Industry</w:t>
      </w:r>
      <w:proofErr w:type="spellEnd"/>
      <w:r w:rsidRPr="00A20855">
        <w:rPr>
          <w:rFonts w:ascii="Times New Roman" w:hAnsi="Times New Roman"/>
          <w:i/>
          <w:sz w:val="16"/>
          <w:szCs w:val="16"/>
        </w:rPr>
        <w:t xml:space="preserve"> </w:t>
      </w:r>
      <w:proofErr w:type="spellStart"/>
      <w:r w:rsidRPr="00A20855">
        <w:rPr>
          <w:rFonts w:ascii="Times New Roman" w:hAnsi="Times New Roman"/>
          <w:i/>
          <w:sz w:val="16"/>
          <w:szCs w:val="16"/>
        </w:rPr>
        <w:t>Scoreboard</w:t>
      </w:r>
      <w:proofErr w:type="spellEnd"/>
      <w:r w:rsidRPr="00484C20">
        <w:rPr>
          <w:rFonts w:ascii="Times New Roman" w:hAnsi="Times New Roman"/>
          <w:sz w:val="16"/>
          <w:szCs w:val="16"/>
        </w:rPr>
        <w:t>“, 2005</w:t>
      </w:r>
      <w:r>
        <w:rPr>
          <w:rFonts w:ascii="Times New Roman" w:hAnsi="Times New Roman"/>
          <w:sz w:val="16"/>
          <w:szCs w:val="16"/>
        </w:rPr>
        <w:t>.</w:t>
      </w:r>
    </w:p>
  </w:footnote>
  <w:footnote w:id="89">
    <w:p w:rsidR="00D20631" w:rsidRPr="00F816DD" w:rsidRDefault="00D20631" w:rsidP="00AE0F90">
      <w:pPr>
        <w:pStyle w:val="FootnoteText"/>
        <w:rPr>
          <w:rFonts w:ascii="Times New Roman" w:hAnsi="Times New Roman"/>
          <w:sz w:val="16"/>
          <w:szCs w:val="16"/>
        </w:rPr>
      </w:pPr>
      <w:r w:rsidRPr="00484C20">
        <w:rPr>
          <w:rStyle w:val="FootnoteReference"/>
          <w:rFonts w:ascii="Times New Roman" w:hAnsi="Times New Roman"/>
          <w:sz w:val="16"/>
          <w:szCs w:val="16"/>
        </w:rPr>
        <w:footnoteRef/>
      </w:r>
      <w:r w:rsidRPr="00484C20">
        <w:rPr>
          <w:rFonts w:ascii="Times New Roman" w:hAnsi="Times New Roman"/>
          <w:sz w:val="16"/>
          <w:szCs w:val="16"/>
        </w:rPr>
        <w:t xml:space="preserve"> </w:t>
      </w:r>
      <w:r w:rsidRPr="00484C20">
        <w:rPr>
          <w:rFonts w:ascii="Times New Roman" w:hAnsi="Times New Roman"/>
          <w:sz w:val="16"/>
          <w:szCs w:val="16"/>
        </w:rPr>
        <w:t xml:space="preserve">За разпределението на </w:t>
      </w:r>
      <w:r>
        <w:rPr>
          <w:rFonts w:ascii="Times New Roman" w:hAnsi="Times New Roman"/>
          <w:sz w:val="16"/>
          <w:szCs w:val="16"/>
        </w:rPr>
        <w:t>продуктите</w:t>
      </w:r>
      <w:r w:rsidRPr="00484C20">
        <w:rPr>
          <w:rFonts w:ascii="Times New Roman" w:hAnsi="Times New Roman"/>
          <w:sz w:val="16"/>
          <w:szCs w:val="16"/>
        </w:rPr>
        <w:t xml:space="preserve"> според интензивност</w:t>
      </w:r>
      <w:r>
        <w:rPr>
          <w:rFonts w:ascii="Times New Roman" w:hAnsi="Times New Roman"/>
          <w:sz w:val="16"/>
          <w:szCs w:val="16"/>
        </w:rPr>
        <w:t>та</w:t>
      </w:r>
      <w:r w:rsidRPr="00484C20">
        <w:rPr>
          <w:rFonts w:ascii="Times New Roman" w:hAnsi="Times New Roman"/>
          <w:sz w:val="16"/>
          <w:szCs w:val="16"/>
        </w:rPr>
        <w:t xml:space="preserve"> на влаганите в производството им фактори е използвана класификацията на </w:t>
      </w:r>
      <w:r>
        <w:rPr>
          <w:rFonts w:ascii="Times New Roman" w:hAnsi="Times New Roman"/>
          <w:sz w:val="16"/>
          <w:szCs w:val="16"/>
        </w:rPr>
        <w:t>ЕЦБ</w:t>
      </w:r>
      <w:r w:rsidRPr="00484C20">
        <w:rPr>
          <w:rFonts w:ascii="Times New Roman" w:hAnsi="Times New Roman"/>
          <w:sz w:val="16"/>
          <w:szCs w:val="16"/>
        </w:rPr>
        <w:t xml:space="preserve"> – вж. „</w:t>
      </w:r>
      <w:proofErr w:type="spellStart"/>
      <w:r w:rsidRPr="00A20855">
        <w:rPr>
          <w:rFonts w:ascii="Times New Roman" w:hAnsi="Times New Roman"/>
          <w:i/>
          <w:sz w:val="16"/>
          <w:szCs w:val="16"/>
          <w:lang w:val="en-US"/>
        </w:rPr>
        <w:t>Globalisation</w:t>
      </w:r>
      <w:proofErr w:type="spellEnd"/>
      <w:r w:rsidRPr="00A20855">
        <w:rPr>
          <w:rFonts w:ascii="Times New Roman" w:hAnsi="Times New Roman"/>
          <w:i/>
          <w:sz w:val="16"/>
          <w:szCs w:val="16"/>
          <w:lang w:val="en-US"/>
        </w:rPr>
        <w:t xml:space="preserve"> and Euro Area Trade: Interactions and Challenges</w:t>
      </w:r>
      <w:r w:rsidRPr="00484C20">
        <w:rPr>
          <w:rFonts w:ascii="Times New Roman" w:hAnsi="Times New Roman"/>
          <w:sz w:val="16"/>
          <w:szCs w:val="16"/>
        </w:rPr>
        <w:t>“, 200</w:t>
      </w:r>
      <w:r>
        <w:rPr>
          <w:rFonts w:ascii="Times New Roman" w:hAnsi="Times New Roman"/>
          <w:sz w:val="16"/>
          <w:szCs w:val="16"/>
          <w:lang w:val="en-US"/>
        </w:rPr>
        <w:t>7</w:t>
      </w:r>
      <w:r>
        <w:rPr>
          <w:rFonts w:ascii="Times New Roman" w:hAnsi="Times New Roman"/>
          <w:sz w:val="16"/>
          <w:szCs w:val="16"/>
        </w:rPr>
        <w:t>.</w:t>
      </w:r>
    </w:p>
  </w:footnote>
  <w:footnote w:id="90">
    <w:p w:rsidR="00D20631" w:rsidRPr="00395B9C" w:rsidRDefault="00D20631" w:rsidP="00AE0F90">
      <w:pPr>
        <w:pStyle w:val="FootnoteText"/>
        <w:rPr>
          <w:rFonts w:ascii="Times New Roman" w:hAnsi="Times New Roman"/>
          <w:sz w:val="16"/>
          <w:szCs w:val="16"/>
        </w:rPr>
      </w:pPr>
      <w:r w:rsidRPr="00395B9C">
        <w:rPr>
          <w:rStyle w:val="FootnoteReference"/>
          <w:rFonts w:ascii="Times New Roman" w:hAnsi="Times New Roman"/>
          <w:sz w:val="16"/>
          <w:szCs w:val="16"/>
        </w:rPr>
        <w:footnoteRef/>
      </w:r>
      <w:r w:rsidRPr="00395B9C">
        <w:rPr>
          <w:rFonts w:ascii="Times New Roman" w:hAnsi="Times New Roman"/>
          <w:sz w:val="16"/>
          <w:szCs w:val="16"/>
        </w:rPr>
        <w:t xml:space="preserve"> </w:t>
      </w:r>
      <w:r w:rsidRPr="00395B9C">
        <w:rPr>
          <w:rFonts w:ascii="Times New Roman" w:hAnsi="Times New Roman"/>
          <w:sz w:val="16"/>
          <w:szCs w:val="16"/>
        </w:rPr>
        <w:t xml:space="preserve">Анализът на МСП сектора </w:t>
      </w:r>
      <w:r>
        <w:rPr>
          <w:rFonts w:ascii="Times New Roman" w:hAnsi="Times New Roman"/>
          <w:sz w:val="16"/>
          <w:szCs w:val="16"/>
        </w:rPr>
        <w:t xml:space="preserve">традиционно </w:t>
      </w:r>
      <w:r w:rsidRPr="00395B9C">
        <w:rPr>
          <w:rFonts w:ascii="Times New Roman" w:hAnsi="Times New Roman"/>
          <w:sz w:val="16"/>
          <w:szCs w:val="16"/>
        </w:rPr>
        <w:t>разглежда само нефинансовите предприятия.</w:t>
      </w:r>
    </w:p>
  </w:footnote>
  <w:footnote w:id="91">
    <w:p w:rsidR="00D20631" w:rsidRPr="000657C4" w:rsidRDefault="00D20631" w:rsidP="00AE0F90">
      <w:pPr>
        <w:pStyle w:val="FootnoteText"/>
        <w:rPr>
          <w:rFonts w:ascii="Times New Roman" w:hAnsi="Times New Roman"/>
          <w:sz w:val="16"/>
          <w:szCs w:val="16"/>
        </w:rPr>
      </w:pPr>
      <w:r w:rsidRPr="000657C4">
        <w:rPr>
          <w:rStyle w:val="FootnoteReference"/>
          <w:rFonts w:ascii="Times New Roman" w:hAnsi="Times New Roman"/>
          <w:sz w:val="16"/>
          <w:szCs w:val="16"/>
        </w:rPr>
        <w:footnoteRef/>
      </w:r>
      <w:r w:rsidRPr="000657C4">
        <w:rPr>
          <w:rFonts w:ascii="Times New Roman" w:hAnsi="Times New Roman"/>
          <w:sz w:val="16"/>
          <w:szCs w:val="16"/>
        </w:rPr>
        <w:t xml:space="preserve"> </w:t>
      </w:r>
      <w:r w:rsidRPr="000657C4">
        <w:rPr>
          <w:rFonts w:ascii="Times New Roman" w:hAnsi="Times New Roman"/>
          <w:sz w:val="16"/>
          <w:szCs w:val="16"/>
        </w:rPr>
        <w:t xml:space="preserve">Национален доклад на GEM за предприемачеството в България 2016/2017, </w:t>
      </w:r>
      <w:r w:rsidRPr="000657C4">
        <w:rPr>
          <w:rFonts w:ascii="Times New Roman" w:hAnsi="Times New Roman"/>
          <w:sz w:val="16"/>
          <w:szCs w:val="16"/>
          <w:lang w:val="en-US"/>
        </w:rPr>
        <w:t>Global Entrepreneurship Monitor Bulgaria</w:t>
      </w:r>
      <w:r>
        <w:rPr>
          <w:rFonts w:ascii="Times New Roman" w:hAnsi="Times New Roman"/>
          <w:sz w:val="16"/>
          <w:szCs w:val="16"/>
          <w:lang w:val="en-US"/>
        </w:rPr>
        <w:t>.</w:t>
      </w:r>
    </w:p>
  </w:footnote>
  <w:footnote w:id="92">
    <w:p w:rsidR="00D20631" w:rsidRPr="00FF038E" w:rsidRDefault="00D20631" w:rsidP="00AE0F90">
      <w:pPr>
        <w:pStyle w:val="FootnoteText"/>
        <w:rPr>
          <w:rFonts w:ascii="Times New Roman" w:hAnsi="Times New Roman"/>
          <w:sz w:val="16"/>
          <w:szCs w:val="16"/>
          <w:lang w:val="en-US"/>
        </w:rPr>
      </w:pPr>
      <w:r w:rsidRPr="00FF038E">
        <w:rPr>
          <w:rStyle w:val="FootnoteReference"/>
          <w:rFonts w:ascii="Times New Roman" w:hAnsi="Times New Roman"/>
          <w:sz w:val="16"/>
          <w:szCs w:val="16"/>
        </w:rPr>
        <w:footnoteRef/>
      </w:r>
      <w:r w:rsidRPr="00FF038E">
        <w:rPr>
          <w:rFonts w:ascii="Times New Roman" w:hAnsi="Times New Roman"/>
          <w:sz w:val="16"/>
          <w:szCs w:val="16"/>
        </w:rPr>
        <w:t xml:space="preserve"> </w:t>
      </w:r>
      <w:r w:rsidRPr="00FF038E">
        <w:rPr>
          <w:rFonts w:ascii="Times New Roman" w:hAnsi="Times New Roman"/>
          <w:sz w:val="16"/>
          <w:szCs w:val="16"/>
        </w:rPr>
        <w:t xml:space="preserve">2017 </w:t>
      </w:r>
      <w:r w:rsidRPr="00FF038E">
        <w:rPr>
          <w:rFonts w:ascii="Times New Roman" w:hAnsi="Times New Roman"/>
          <w:sz w:val="16"/>
          <w:szCs w:val="16"/>
          <w:lang w:val="en-US"/>
        </w:rPr>
        <w:t>SBA Fact Sheet Bulgaria.</w:t>
      </w:r>
    </w:p>
  </w:footnote>
  <w:footnote w:id="93">
    <w:p w:rsidR="00D20631" w:rsidRPr="00B43CD5" w:rsidRDefault="00D20631" w:rsidP="00AE0F90">
      <w:pPr>
        <w:pStyle w:val="FootnoteText"/>
        <w:rPr>
          <w:rFonts w:ascii="Times New Roman" w:hAnsi="Times New Roman"/>
          <w:sz w:val="16"/>
          <w:szCs w:val="16"/>
        </w:rPr>
      </w:pPr>
      <w:r w:rsidRPr="00B43CD5">
        <w:rPr>
          <w:rStyle w:val="FootnoteReference"/>
          <w:rFonts w:ascii="Times New Roman" w:hAnsi="Times New Roman"/>
          <w:sz w:val="16"/>
          <w:szCs w:val="16"/>
        </w:rPr>
        <w:footnoteRef/>
      </w:r>
      <w:r w:rsidRPr="00B43CD5">
        <w:rPr>
          <w:rFonts w:ascii="Times New Roman" w:hAnsi="Times New Roman"/>
          <w:sz w:val="16"/>
          <w:szCs w:val="16"/>
        </w:rPr>
        <w:t xml:space="preserve"> </w:t>
      </w:r>
      <w:r w:rsidRPr="00B43CD5">
        <w:rPr>
          <w:rFonts w:ascii="Times New Roman" w:hAnsi="Times New Roman"/>
          <w:sz w:val="16"/>
          <w:szCs w:val="16"/>
        </w:rPr>
        <w:t xml:space="preserve">2017 SBA </w:t>
      </w:r>
      <w:proofErr w:type="spellStart"/>
      <w:r w:rsidRPr="00B43CD5">
        <w:rPr>
          <w:rFonts w:ascii="Times New Roman" w:hAnsi="Times New Roman"/>
          <w:sz w:val="16"/>
          <w:szCs w:val="16"/>
        </w:rPr>
        <w:t>Fact</w:t>
      </w:r>
      <w:proofErr w:type="spellEnd"/>
      <w:r w:rsidRPr="00B43CD5">
        <w:rPr>
          <w:rFonts w:ascii="Times New Roman" w:hAnsi="Times New Roman"/>
          <w:sz w:val="16"/>
          <w:szCs w:val="16"/>
        </w:rPr>
        <w:t xml:space="preserve"> </w:t>
      </w:r>
      <w:proofErr w:type="spellStart"/>
      <w:r w:rsidRPr="00B43CD5">
        <w:rPr>
          <w:rFonts w:ascii="Times New Roman" w:hAnsi="Times New Roman"/>
          <w:sz w:val="16"/>
          <w:szCs w:val="16"/>
        </w:rPr>
        <w:t>Sheet</w:t>
      </w:r>
      <w:proofErr w:type="spellEnd"/>
      <w:r w:rsidRPr="00B43CD5">
        <w:rPr>
          <w:rFonts w:ascii="Times New Roman" w:hAnsi="Times New Roman"/>
          <w:sz w:val="16"/>
          <w:szCs w:val="16"/>
        </w:rPr>
        <w:t xml:space="preserve"> </w:t>
      </w:r>
      <w:proofErr w:type="spellStart"/>
      <w:r w:rsidRPr="00B43CD5">
        <w:rPr>
          <w:rFonts w:ascii="Times New Roman" w:hAnsi="Times New Roman"/>
          <w:sz w:val="16"/>
          <w:szCs w:val="16"/>
        </w:rPr>
        <w:t>Bulgaria</w:t>
      </w:r>
      <w:proofErr w:type="spellEnd"/>
      <w:r w:rsidRPr="00B43CD5">
        <w:rPr>
          <w:rFonts w:ascii="Times New Roman" w:hAnsi="Times New Roman"/>
          <w:sz w:val="16"/>
          <w:szCs w:val="16"/>
        </w:rPr>
        <w:t>.</w:t>
      </w:r>
    </w:p>
  </w:footnote>
  <w:footnote w:id="94">
    <w:p w:rsidR="00D20631" w:rsidRPr="00A70F51" w:rsidRDefault="00D20631" w:rsidP="00AE0F90">
      <w:pPr>
        <w:pStyle w:val="FootnoteText"/>
        <w:rPr>
          <w:rFonts w:ascii="Times New Roman" w:hAnsi="Times New Roman"/>
          <w:sz w:val="16"/>
          <w:szCs w:val="16"/>
        </w:rPr>
      </w:pPr>
      <w:r w:rsidRPr="00A70F51">
        <w:rPr>
          <w:rStyle w:val="FootnoteReference"/>
          <w:rFonts w:ascii="Times New Roman" w:hAnsi="Times New Roman"/>
          <w:sz w:val="16"/>
          <w:szCs w:val="16"/>
        </w:rPr>
        <w:footnoteRef/>
      </w:r>
      <w:r w:rsidRPr="00A70F51">
        <w:rPr>
          <w:rFonts w:ascii="Times New Roman" w:hAnsi="Times New Roman"/>
          <w:sz w:val="16"/>
          <w:szCs w:val="16"/>
        </w:rPr>
        <w:t xml:space="preserve"> </w:t>
      </w:r>
      <w:r w:rsidRPr="00A70F51">
        <w:rPr>
          <w:rFonts w:ascii="Times New Roman" w:hAnsi="Times New Roman"/>
          <w:sz w:val="16"/>
          <w:szCs w:val="16"/>
        </w:rPr>
        <w:t>Измерена като брутна добавена стойност от един зает.</w:t>
      </w:r>
    </w:p>
  </w:footnote>
  <w:footnote w:id="95">
    <w:p w:rsidR="00D20631" w:rsidRPr="00B93E41" w:rsidRDefault="00D20631" w:rsidP="00AE0F90">
      <w:pPr>
        <w:pStyle w:val="FootnoteText"/>
        <w:rPr>
          <w:rFonts w:ascii="Times New Roman" w:hAnsi="Times New Roman"/>
          <w:sz w:val="16"/>
          <w:szCs w:val="16"/>
        </w:rPr>
      </w:pPr>
      <w:r w:rsidRPr="00B93E41">
        <w:rPr>
          <w:rStyle w:val="FootnoteReference"/>
          <w:rFonts w:ascii="Times New Roman" w:hAnsi="Times New Roman"/>
          <w:sz w:val="16"/>
          <w:szCs w:val="16"/>
        </w:rPr>
        <w:footnoteRef/>
      </w:r>
      <w:r w:rsidRPr="00B93E41">
        <w:rPr>
          <w:rFonts w:ascii="Times New Roman" w:hAnsi="Times New Roman"/>
          <w:sz w:val="16"/>
          <w:szCs w:val="16"/>
        </w:rPr>
        <w:t xml:space="preserve"> </w:t>
      </w:r>
      <w:r w:rsidRPr="00B93E41">
        <w:rPr>
          <w:rFonts w:ascii="Times New Roman" w:hAnsi="Times New Roman"/>
          <w:sz w:val="16"/>
          <w:szCs w:val="16"/>
        </w:rPr>
        <w:t xml:space="preserve">Източник: UN </w:t>
      </w:r>
      <w:proofErr w:type="spellStart"/>
      <w:r w:rsidRPr="00663EC3">
        <w:rPr>
          <w:rFonts w:ascii="Times New Roman" w:hAnsi="Times New Roman"/>
          <w:sz w:val="16"/>
          <w:szCs w:val="16"/>
          <w:lang w:val="en-GB"/>
        </w:rPr>
        <w:t>Comtrade</w:t>
      </w:r>
      <w:proofErr w:type="spellEnd"/>
      <w:r w:rsidRPr="00663EC3">
        <w:rPr>
          <w:rFonts w:ascii="Times New Roman" w:hAnsi="Times New Roman"/>
          <w:sz w:val="16"/>
          <w:szCs w:val="16"/>
          <w:lang w:val="en-GB"/>
        </w:rPr>
        <w:t xml:space="preserve"> Database</w:t>
      </w:r>
      <w:r w:rsidRPr="00B93E41">
        <w:rPr>
          <w:rFonts w:ascii="Times New Roman" w:hAnsi="Times New Roman"/>
          <w:sz w:val="16"/>
          <w:szCs w:val="16"/>
        </w:rPr>
        <w:t>.</w:t>
      </w:r>
    </w:p>
  </w:footnote>
  <w:footnote w:id="96">
    <w:p w:rsidR="00D20631" w:rsidRPr="00B93E41" w:rsidRDefault="00D20631" w:rsidP="00AE0F90">
      <w:pPr>
        <w:pStyle w:val="FootnoteText"/>
        <w:rPr>
          <w:rFonts w:ascii="Times New Roman" w:hAnsi="Times New Roman"/>
          <w:sz w:val="16"/>
          <w:szCs w:val="16"/>
        </w:rPr>
      </w:pPr>
      <w:r w:rsidRPr="00B93E41">
        <w:rPr>
          <w:rStyle w:val="FootnoteReference"/>
          <w:rFonts w:ascii="Times New Roman" w:hAnsi="Times New Roman"/>
          <w:sz w:val="16"/>
          <w:szCs w:val="16"/>
        </w:rPr>
        <w:footnoteRef/>
      </w:r>
      <w:r w:rsidRPr="00B93E41">
        <w:rPr>
          <w:rFonts w:ascii="Times New Roman" w:hAnsi="Times New Roman"/>
          <w:sz w:val="16"/>
          <w:szCs w:val="16"/>
        </w:rPr>
        <w:t xml:space="preserve"> </w:t>
      </w:r>
      <w:r w:rsidRPr="00B93E41">
        <w:rPr>
          <w:rFonts w:ascii="Times New Roman" w:hAnsi="Times New Roman"/>
          <w:sz w:val="16"/>
          <w:szCs w:val="16"/>
        </w:rPr>
        <w:t>Включ</w:t>
      </w:r>
      <w:r>
        <w:rPr>
          <w:rFonts w:ascii="Times New Roman" w:hAnsi="Times New Roman"/>
          <w:sz w:val="16"/>
          <w:szCs w:val="16"/>
        </w:rPr>
        <w:t>ени са</w:t>
      </w:r>
      <w:r w:rsidRPr="00B93E41">
        <w:rPr>
          <w:rFonts w:ascii="Times New Roman" w:hAnsi="Times New Roman"/>
          <w:sz w:val="16"/>
          <w:szCs w:val="16"/>
        </w:rPr>
        <w:t xml:space="preserve"> продук</w:t>
      </w:r>
      <w:r>
        <w:rPr>
          <w:rFonts w:ascii="Times New Roman" w:hAnsi="Times New Roman"/>
          <w:sz w:val="16"/>
          <w:szCs w:val="16"/>
        </w:rPr>
        <w:t xml:space="preserve">ти на растениевъдството, животновъдството, </w:t>
      </w:r>
      <w:r w:rsidRPr="00B93E41">
        <w:rPr>
          <w:rFonts w:ascii="Times New Roman" w:hAnsi="Times New Roman"/>
          <w:sz w:val="16"/>
          <w:szCs w:val="16"/>
        </w:rPr>
        <w:t>храни, напитки и тютюн и тютюневи изделия.</w:t>
      </w:r>
    </w:p>
  </w:footnote>
  <w:footnote w:id="97">
    <w:p w:rsidR="00D20631" w:rsidRPr="00E050D1" w:rsidRDefault="00D20631" w:rsidP="00AE0F90">
      <w:pPr>
        <w:pStyle w:val="FootnoteText"/>
        <w:rPr>
          <w:rFonts w:ascii="Times New Roman" w:hAnsi="Times New Roman"/>
          <w:sz w:val="16"/>
          <w:szCs w:val="16"/>
        </w:rPr>
      </w:pPr>
      <w:r w:rsidRPr="00E050D1">
        <w:rPr>
          <w:rStyle w:val="FootnoteReference"/>
          <w:rFonts w:ascii="Times New Roman" w:hAnsi="Times New Roman"/>
          <w:sz w:val="16"/>
          <w:szCs w:val="16"/>
        </w:rPr>
        <w:footnoteRef/>
      </w:r>
      <w:r w:rsidRPr="00E050D1">
        <w:rPr>
          <w:rFonts w:ascii="Times New Roman" w:hAnsi="Times New Roman"/>
          <w:sz w:val="16"/>
          <w:szCs w:val="16"/>
        </w:rPr>
        <w:t xml:space="preserve"> </w:t>
      </w:r>
      <w:r>
        <w:rPr>
          <w:rFonts w:ascii="Times New Roman" w:hAnsi="Times New Roman"/>
          <w:sz w:val="16"/>
          <w:szCs w:val="16"/>
        </w:rPr>
        <w:t>В частта са и</w:t>
      </w:r>
      <w:r w:rsidRPr="00E050D1">
        <w:rPr>
          <w:rFonts w:ascii="Times New Roman" w:hAnsi="Times New Roman"/>
          <w:sz w:val="16"/>
          <w:szCs w:val="16"/>
        </w:rPr>
        <w:t>зползвани данните от Изследването на структурата на земеделските стопанства 2016 г.</w:t>
      </w:r>
    </w:p>
  </w:footnote>
  <w:footnote w:id="98">
    <w:p w:rsidR="00D20631" w:rsidRPr="009128AF" w:rsidRDefault="00D20631" w:rsidP="00AE0F90">
      <w:pPr>
        <w:pStyle w:val="FootnoteText"/>
        <w:rPr>
          <w:rFonts w:ascii="Times New Roman" w:hAnsi="Times New Roman"/>
          <w:sz w:val="16"/>
          <w:szCs w:val="16"/>
        </w:rPr>
      </w:pPr>
      <w:r w:rsidRPr="009128AF">
        <w:rPr>
          <w:rStyle w:val="FootnoteReference"/>
          <w:rFonts w:ascii="Times New Roman" w:hAnsi="Times New Roman"/>
          <w:sz w:val="16"/>
          <w:szCs w:val="16"/>
        </w:rPr>
        <w:footnoteRef/>
      </w:r>
      <w:r w:rsidRPr="009128AF">
        <w:rPr>
          <w:rFonts w:ascii="Times New Roman" w:hAnsi="Times New Roman"/>
          <w:sz w:val="16"/>
          <w:szCs w:val="16"/>
        </w:rPr>
        <w:t xml:space="preserve"> </w:t>
      </w:r>
      <w:r w:rsidRPr="009128AF">
        <w:rPr>
          <w:rFonts w:ascii="Times New Roman" w:hAnsi="Times New Roman"/>
          <w:sz w:val="16"/>
          <w:szCs w:val="16"/>
        </w:rPr>
        <w:t>Включващи производители, преработватели и търговци.</w:t>
      </w:r>
    </w:p>
  </w:footnote>
  <w:footnote w:id="99">
    <w:p w:rsidR="00D20631" w:rsidRPr="00F600ED" w:rsidRDefault="00D20631" w:rsidP="00AE0F90">
      <w:pPr>
        <w:pStyle w:val="FootnoteText"/>
        <w:rPr>
          <w:rFonts w:ascii="Times New Roman" w:hAnsi="Times New Roman"/>
          <w:sz w:val="16"/>
          <w:szCs w:val="16"/>
        </w:rPr>
      </w:pPr>
      <w:r w:rsidRPr="00F600ED">
        <w:rPr>
          <w:rStyle w:val="FootnoteReference"/>
          <w:rFonts w:ascii="Times New Roman" w:hAnsi="Times New Roman"/>
          <w:sz w:val="16"/>
          <w:szCs w:val="16"/>
        </w:rPr>
        <w:footnoteRef/>
      </w:r>
      <w:r w:rsidRPr="00F600ED">
        <w:rPr>
          <w:rFonts w:ascii="Times New Roman" w:hAnsi="Times New Roman"/>
          <w:sz w:val="16"/>
          <w:szCs w:val="16"/>
        </w:rPr>
        <w:t xml:space="preserve"> </w:t>
      </w:r>
      <w:r>
        <w:rPr>
          <w:rFonts w:ascii="Times New Roman" w:hAnsi="Times New Roman"/>
          <w:sz w:val="16"/>
          <w:szCs w:val="16"/>
        </w:rPr>
        <w:t>В</w:t>
      </w:r>
      <w:r w:rsidRPr="00F600ED">
        <w:rPr>
          <w:rFonts w:ascii="Times New Roman" w:hAnsi="Times New Roman"/>
          <w:sz w:val="16"/>
          <w:szCs w:val="16"/>
        </w:rPr>
        <w:t xml:space="preserve"> т</w:t>
      </w:r>
      <w:r>
        <w:rPr>
          <w:rFonts w:ascii="Times New Roman" w:hAnsi="Times New Roman"/>
          <w:sz w:val="16"/>
          <w:szCs w:val="16"/>
        </w:rPr>
        <w:t>.</w:t>
      </w:r>
      <w:r w:rsidRPr="00F600ED">
        <w:rPr>
          <w:rFonts w:ascii="Times New Roman" w:hAnsi="Times New Roman"/>
          <w:sz w:val="16"/>
          <w:szCs w:val="16"/>
        </w:rPr>
        <w:t>ч</w:t>
      </w:r>
      <w:r>
        <w:rPr>
          <w:rFonts w:ascii="Times New Roman" w:hAnsi="Times New Roman"/>
          <w:sz w:val="16"/>
          <w:szCs w:val="16"/>
        </w:rPr>
        <w:t>.</w:t>
      </w:r>
      <w:r w:rsidRPr="00F600ED">
        <w:rPr>
          <w:rFonts w:ascii="Times New Roman" w:hAnsi="Times New Roman"/>
          <w:sz w:val="16"/>
          <w:szCs w:val="16"/>
        </w:rPr>
        <w:t xml:space="preserve"> площи в период на преход и биологични площи</w:t>
      </w:r>
      <w:r>
        <w:rPr>
          <w:rFonts w:ascii="Times New Roman" w:hAnsi="Times New Roman"/>
          <w:sz w:val="16"/>
          <w:szCs w:val="16"/>
        </w:rPr>
        <w:t>.</w:t>
      </w:r>
    </w:p>
  </w:footnote>
  <w:footnote w:id="100">
    <w:p w:rsidR="00D20631" w:rsidRPr="00FC4CA9" w:rsidRDefault="00D20631" w:rsidP="00AE0F90">
      <w:pPr>
        <w:pStyle w:val="FootnoteText"/>
        <w:rPr>
          <w:rFonts w:ascii="Times New Roman" w:hAnsi="Times New Roman"/>
          <w:sz w:val="16"/>
          <w:szCs w:val="16"/>
        </w:rPr>
      </w:pPr>
      <w:r w:rsidRPr="00FC4CA9">
        <w:rPr>
          <w:rStyle w:val="FootnoteReference"/>
          <w:rFonts w:ascii="Times New Roman" w:hAnsi="Times New Roman"/>
          <w:sz w:val="16"/>
          <w:szCs w:val="16"/>
        </w:rPr>
        <w:footnoteRef/>
      </w:r>
      <w:r w:rsidRPr="00FC4CA9">
        <w:rPr>
          <w:rFonts w:ascii="Times New Roman" w:hAnsi="Times New Roman"/>
          <w:sz w:val="16"/>
          <w:szCs w:val="16"/>
        </w:rPr>
        <w:t xml:space="preserve"> </w:t>
      </w:r>
      <w:r>
        <w:rPr>
          <w:rFonts w:ascii="Times New Roman" w:hAnsi="Times New Roman"/>
          <w:sz w:val="16"/>
          <w:szCs w:val="16"/>
        </w:rPr>
        <w:t xml:space="preserve">Данните за сектора са от </w:t>
      </w:r>
      <w:r w:rsidRPr="00FC4CA9">
        <w:rPr>
          <w:rFonts w:ascii="Times New Roman" w:hAnsi="Times New Roman"/>
          <w:sz w:val="16"/>
          <w:szCs w:val="16"/>
        </w:rPr>
        <w:t xml:space="preserve">Аграрен доклад </w:t>
      </w:r>
      <w:r w:rsidRPr="00FC4CA9">
        <w:rPr>
          <w:rFonts w:ascii="Times New Roman" w:hAnsi="Times New Roman"/>
          <w:sz w:val="16"/>
          <w:szCs w:val="16"/>
          <w:lang w:val="en-US"/>
        </w:rPr>
        <w:t>‘</w:t>
      </w:r>
      <w:r w:rsidRPr="00FC4CA9">
        <w:rPr>
          <w:rFonts w:ascii="Times New Roman" w:hAnsi="Times New Roman"/>
          <w:sz w:val="16"/>
          <w:szCs w:val="16"/>
        </w:rPr>
        <w:t>2017 г., Министерство на земеделието, храните и горите</w:t>
      </w:r>
      <w:r>
        <w:rPr>
          <w:rFonts w:ascii="Times New Roman" w:hAnsi="Times New Roman"/>
          <w:sz w:val="16"/>
          <w:szCs w:val="16"/>
        </w:rPr>
        <w:t>.</w:t>
      </w:r>
    </w:p>
  </w:footnote>
  <w:footnote w:id="101">
    <w:p w:rsidR="00D20631" w:rsidRPr="009254D6" w:rsidRDefault="00D20631" w:rsidP="00AE0F90">
      <w:pPr>
        <w:pStyle w:val="FootnoteText"/>
        <w:jc w:val="both"/>
        <w:rPr>
          <w:rFonts w:ascii="Times New Roman" w:hAnsi="Times New Roman"/>
          <w:sz w:val="16"/>
          <w:szCs w:val="16"/>
        </w:rPr>
      </w:pPr>
      <w:r w:rsidRPr="009254D6">
        <w:rPr>
          <w:rStyle w:val="FootnoteReference"/>
          <w:rFonts w:ascii="Times New Roman" w:hAnsi="Times New Roman"/>
          <w:sz w:val="16"/>
          <w:szCs w:val="16"/>
        </w:rPr>
        <w:footnoteRef/>
      </w:r>
      <w:r w:rsidRPr="009254D6">
        <w:rPr>
          <w:rFonts w:ascii="Times New Roman" w:hAnsi="Times New Roman"/>
          <w:sz w:val="16"/>
          <w:szCs w:val="16"/>
        </w:rPr>
        <w:t xml:space="preserve"> </w:t>
      </w:r>
      <w:r>
        <w:rPr>
          <w:rFonts w:ascii="Times New Roman" w:hAnsi="Times New Roman"/>
          <w:sz w:val="16"/>
          <w:szCs w:val="16"/>
        </w:rPr>
        <w:t>Н</w:t>
      </w:r>
      <w:r w:rsidRPr="009254D6">
        <w:rPr>
          <w:rFonts w:ascii="Times New Roman" w:hAnsi="Times New Roman"/>
          <w:sz w:val="16"/>
          <w:szCs w:val="16"/>
        </w:rPr>
        <w:t>ационална стратегия за устойчиво развитие на туризма в Република България 2014-2030 г.</w:t>
      </w:r>
      <w:r>
        <w:rPr>
          <w:rFonts w:ascii="Times New Roman" w:hAnsi="Times New Roman"/>
          <w:sz w:val="16"/>
          <w:szCs w:val="16"/>
        </w:rPr>
        <w:t>, актуализирана версия 2017 г.</w:t>
      </w:r>
    </w:p>
  </w:footnote>
  <w:footnote w:id="102">
    <w:p w:rsidR="00D20631" w:rsidRPr="00D00731" w:rsidRDefault="00D20631" w:rsidP="00AE0F90">
      <w:pPr>
        <w:pStyle w:val="FootnoteText"/>
        <w:rPr>
          <w:rFonts w:ascii="Times New Roman" w:hAnsi="Times New Roman"/>
          <w:sz w:val="16"/>
          <w:szCs w:val="16"/>
        </w:rPr>
      </w:pPr>
      <w:r w:rsidRPr="00D00731">
        <w:rPr>
          <w:rStyle w:val="FootnoteReference"/>
          <w:rFonts w:ascii="Times New Roman" w:hAnsi="Times New Roman"/>
          <w:sz w:val="16"/>
          <w:szCs w:val="16"/>
        </w:rPr>
        <w:footnoteRef/>
      </w:r>
      <w:r w:rsidRPr="00D00731">
        <w:rPr>
          <w:rFonts w:ascii="Times New Roman" w:hAnsi="Times New Roman"/>
          <w:sz w:val="16"/>
          <w:szCs w:val="16"/>
        </w:rPr>
        <w:t xml:space="preserve"> </w:t>
      </w:r>
      <w:r w:rsidRPr="00D00731">
        <w:rPr>
          <w:rFonts w:ascii="Times New Roman" w:hAnsi="Times New Roman"/>
          <w:sz w:val="16"/>
          <w:szCs w:val="16"/>
        </w:rPr>
        <w:t xml:space="preserve">Показателят измерва общото количество </w:t>
      </w:r>
      <w:r>
        <w:rPr>
          <w:rFonts w:ascii="Times New Roman" w:hAnsi="Times New Roman"/>
          <w:sz w:val="16"/>
          <w:szCs w:val="16"/>
        </w:rPr>
        <w:t>суровини (в кг)</w:t>
      </w:r>
      <w:r w:rsidRPr="00D00731">
        <w:rPr>
          <w:rFonts w:ascii="Times New Roman" w:hAnsi="Times New Roman"/>
          <w:sz w:val="16"/>
          <w:szCs w:val="16"/>
        </w:rPr>
        <w:t xml:space="preserve">, използвани </w:t>
      </w:r>
      <w:r>
        <w:rPr>
          <w:rFonts w:ascii="Times New Roman" w:hAnsi="Times New Roman"/>
          <w:sz w:val="16"/>
          <w:szCs w:val="16"/>
        </w:rPr>
        <w:t>за производство на единица БВП (в евро, по постоянни цени).</w:t>
      </w:r>
    </w:p>
  </w:footnote>
  <w:footnote w:id="103">
    <w:p w:rsidR="00D20631" w:rsidRPr="00866B32" w:rsidRDefault="00D20631" w:rsidP="00AE0F90">
      <w:pPr>
        <w:pStyle w:val="FootnoteText"/>
        <w:rPr>
          <w:rFonts w:ascii="Times New Roman" w:hAnsi="Times New Roman"/>
          <w:sz w:val="16"/>
          <w:szCs w:val="16"/>
        </w:rPr>
      </w:pPr>
      <w:r w:rsidRPr="00866B32">
        <w:rPr>
          <w:rStyle w:val="FootnoteReference"/>
          <w:rFonts w:ascii="Times New Roman" w:hAnsi="Times New Roman"/>
          <w:sz w:val="16"/>
          <w:szCs w:val="16"/>
        </w:rPr>
        <w:footnoteRef/>
      </w:r>
      <w:r w:rsidRPr="00866B32">
        <w:rPr>
          <w:rFonts w:ascii="Times New Roman" w:hAnsi="Times New Roman"/>
          <w:sz w:val="16"/>
          <w:szCs w:val="16"/>
        </w:rPr>
        <w:t xml:space="preserve"> </w:t>
      </w:r>
      <w:r w:rsidRPr="00866B32">
        <w:rPr>
          <w:rFonts w:ascii="Times New Roman" w:hAnsi="Times New Roman"/>
          <w:sz w:val="16"/>
          <w:szCs w:val="16"/>
        </w:rPr>
        <w:t>Показателят измерва общото количество на използваната енергия (в кг нефтен еквивалент), използвани за производство на единица БВП (в евро, по постоянни цени).</w:t>
      </w:r>
    </w:p>
  </w:footnote>
  <w:footnote w:id="104">
    <w:p w:rsidR="00D20631" w:rsidRPr="00FD6A73" w:rsidRDefault="00D20631" w:rsidP="00AE0F90">
      <w:pPr>
        <w:pStyle w:val="FootnoteText"/>
        <w:rPr>
          <w:rFonts w:ascii="Times New Roman" w:hAnsi="Times New Roman"/>
          <w:sz w:val="16"/>
          <w:szCs w:val="16"/>
        </w:rPr>
      </w:pPr>
      <w:r w:rsidRPr="00FD6A73">
        <w:rPr>
          <w:rStyle w:val="FootnoteReference"/>
          <w:rFonts w:ascii="Times New Roman" w:hAnsi="Times New Roman"/>
          <w:sz w:val="16"/>
          <w:szCs w:val="16"/>
        </w:rPr>
        <w:footnoteRef/>
      </w:r>
      <w:r w:rsidRPr="00FD6A73">
        <w:rPr>
          <w:rFonts w:ascii="Times New Roman" w:hAnsi="Times New Roman"/>
          <w:sz w:val="16"/>
          <w:szCs w:val="16"/>
        </w:rPr>
        <w:t xml:space="preserve"> </w:t>
      </w:r>
      <w:r w:rsidRPr="00FD6A73">
        <w:rPr>
          <w:rFonts w:ascii="Times New Roman" w:hAnsi="Times New Roman"/>
          <w:sz w:val="16"/>
          <w:szCs w:val="16"/>
        </w:rPr>
        <w:t>Директива 2012/27/ЕС на Европейския парламент и на Съвета от 25 октомври 2012 г</w:t>
      </w:r>
      <w:r>
        <w:rPr>
          <w:rFonts w:ascii="Times New Roman" w:hAnsi="Times New Roman"/>
          <w:sz w:val="16"/>
          <w:szCs w:val="16"/>
        </w:rPr>
        <w:t>.</w:t>
      </w:r>
      <w:r w:rsidRPr="00FD6A73">
        <w:rPr>
          <w:rFonts w:ascii="Times New Roman" w:hAnsi="Times New Roman"/>
          <w:sz w:val="16"/>
          <w:szCs w:val="16"/>
        </w:rPr>
        <w:t xml:space="preserve"> относно енергийната ефективност.</w:t>
      </w:r>
    </w:p>
  </w:footnote>
  <w:footnote w:id="105">
    <w:p w:rsidR="00D20631" w:rsidRPr="00992A4A" w:rsidRDefault="00D20631" w:rsidP="00AE0F90">
      <w:pPr>
        <w:pStyle w:val="FootnoteText"/>
        <w:rPr>
          <w:rFonts w:ascii="Times New Roman" w:hAnsi="Times New Roman"/>
          <w:sz w:val="16"/>
          <w:szCs w:val="16"/>
        </w:rPr>
      </w:pPr>
      <w:r w:rsidRPr="00992A4A">
        <w:rPr>
          <w:rStyle w:val="FootnoteReference"/>
          <w:rFonts w:ascii="Times New Roman" w:hAnsi="Times New Roman"/>
          <w:sz w:val="16"/>
          <w:szCs w:val="16"/>
        </w:rPr>
        <w:footnoteRef/>
      </w:r>
      <w:r w:rsidRPr="00992A4A">
        <w:rPr>
          <w:rFonts w:ascii="Times New Roman" w:hAnsi="Times New Roman"/>
          <w:sz w:val="16"/>
          <w:szCs w:val="16"/>
        </w:rPr>
        <w:t xml:space="preserve"> </w:t>
      </w:r>
      <w:proofErr w:type="spellStart"/>
      <w:r w:rsidRPr="00992A4A">
        <w:rPr>
          <w:rFonts w:ascii="Times New Roman" w:hAnsi="Times New Roman"/>
          <w:sz w:val="16"/>
          <w:szCs w:val="16"/>
        </w:rPr>
        <w:t>Third</w:t>
      </w:r>
      <w:proofErr w:type="spellEnd"/>
      <w:r w:rsidRPr="00992A4A">
        <w:rPr>
          <w:rFonts w:ascii="Times New Roman" w:hAnsi="Times New Roman"/>
          <w:sz w:val="16"/>
          <w:szCs w:val="16"/>
        </w:rPr>
        <w:t xml:space="preserve"> </w:t>
      </w:r>
      <w:proofErr w:type="spellStart"/>
      <w:r w:rsidRPr="00992A4A">
        <w:rPr>
          <w:rFonts w:ascii="Times New Roman" w:hAnsi="Times New Roman"/>
          <w:sz w:val="16"/>
          <w:szCs w:val="16"/>
        </w:rPr>
        <w:t>Report</w:t>
      </w:r>
      <w:proofErr w:type="spellEnd"/>
      <w:r w:rsidRPr="00992A4A">
        <w:rPr>
          <w:rFonts w:ascii="Times New Roman" w:hAnsi="Times New Roman"/>
          <w:sz w:val="16"/>
          <w:szCs w:val="16"/>
        </w:rPr>
        <w:t xml:space="preserve"> </w:t>
      </w:r>
      <w:proofErr w:type="spellStart"/>
      <w:r w:rsidRPr="00992A4A">
        <w:rPr>
          <w:rFonts w:ascii="Times New Roman" w:hAnsi="Times New Roman"/>
          <w:sz w:val="16"/>
          <w:szCs w:val="16"/>
        </w:rPr>
        <w:t>on</w:t>
      </w:r>
      <w:proofErr w:type="spellEnd"/>
      <w:r w:rsidRPr="00992A4A">
        <w:rPr>
          <w:rFonts w:ascii="Times New Roman" w:hAnsi="Times New Roman"/>
          <w:sz w:val="16"/>
          <w:szCs w:val="16"/>
        </w:rPr>
        <w:t xml:space="preserve"> </w:t>
      </w:r>
      <w:proofErr w:type="spellStart"/>
      <w:r w:rsidRPr="00992A4A">
        <w:rPr>
          <w:rFonts w:ascii="Times New Roman" w:hAnsi="Times New Roman"/>
          <w:sz w:val="16"/>
          <w:szCs w:val="16"/>
        </w:rPr>
        <w:t>the</w:t>
      </w:r>
      <w:proofErr w:type="spellEnd"/>
      <w:r w:rsidRPr="00992A4A">
        <w:rPr>
          <w:rFonts w:ascii="Times New Roman" w:hAnsi="Times New Roman"/>
          <w:sz w:val="16"/>
          <w:szCs w:val="16"/>
        </w:rPr>
        <w:t xml:space="preserve"> State </w:t>
      </w:r>
      <w:proofErr w:type="spellStart"/>
      <w:r w:rsidRPr="00992A4A">
        <w:rPr>
          <w:rFonts w:ascii="Times New Roman" w:hAnsi="Times New Roman"/>
          <w:sz w:val="16"/>
          <w:szCs w:val="16"/>
        </w:rPr>
        <w:t>of</w:t>
      </w:r>
      <w:proofErr w:type="spellEnd"/>
      <w:r w:rsidRPr="00992A4A">
        <w:rPr>
          <w:rFonts w:ascii="Times New Roman" w:hAnsi="Times New Roman"/>
          <w:sz w:val="16"/>
          <w:szCs w:val="16"/>
        </w:rPr>
        <w:t xml:space="preserve"> </w:t>
      </w:r>
      <w:proofErr w:type="spellStart"/>
      <w:r w:rsidRPr="00992A4A">
        <w:rPr>
          <w:rFonts w:ascii="Times New Roman" w:hAnsi="Times New Roman"/>
          <w:sz w:val="16"/>
          <w:szCs w:val="16"/>
        </w:rPr>
        <w:t>the</w:t>
      </w:r>
      <w:proofErr w:type="spellEnd"/>
      <w:r w:rsidRPr="00992A4A">
        <w:rPr>
          <w:rFonts w:ascii="Times New Roman" w:hAnsi="Times New Roman"/>
          <w:sz w:val="16"/>
          <w:szCs w:val="16"/>
        </w:rPr>
        <w:t xml:space="preserve"> Energy </w:t>
      </w:r>
      <w:proofErr w:type="spellStart"/>
      <w:r w:rsidRPr="00992A4A">
        <w:rPr>
          <w:rFonts w:ascii="Times New Roman" w:hAnsi="Times New Roman"/>
          <w:sz w:val="16"/>
          <w:szCs w:val="16"/>
        </w:rPr>
        <w:t>Union</w:t>
      </w:r>
      <w:proofErr w:type="spellEnd"/>
      <w:r w:rsidRPr="00992A4A">
        <w:rPr>
          <w:rFonts w:ascii="Times New Roman" w:hAnsi="Times New Roman"/>
          <w:sz w:val="16"/>
          <w:szCs w:val="16"/>
        </w:rPr>
        <w:t xml:space="preserve">, ЕК, ноември 2017 г. </w:t>
      </w:r>
    </w:p>
  </w:footnote>
  <w:footnote w:id="106">
    <w:p w:rsidR="00D20631" w:rsidRPr="00F87B85" w:rsidRDefault="00D20631" w:rsidP="00AE0F90">
      <w:pPr>
        <w:pStyle w:val="FootnoteText"/>
        <w:rPr>
          <w:rFonts w:ascii="Times New Roman" w:hAnsi="Times New Roman"/>
          <w:sz w:val="16"/>
          <w:szCs w:val="16"/>
        </w:rPr>
      </w:pPr>
      <w:r w:rsidRPr="00F87B85">
        <w:rPr>
          <w:rStyle w:val="FootnoteReference"/>
          <w:rFonts w:ascii="Times New Roman" w:hAnsi="Times New Roman"/>
          <w:sz w:val="16"/>
          <w:szCs w:val="16"/>
        </w:rPr>
        <w:footnoteRef/>
      </w:r>
      <w:r w:rsidRPr="00F87B85">
        <w:rPr>
          <w:rFonts w:ascii="Times New Roman" w:hAnsi="Times New Roman"/>
          <w:sz w:val="16"/>
          <w:szCs w:val="16"/>
        </w:rPr>
        <w:t xml:space="preserve"> </w:t>
      </w:r>
      <w:r>
        <w:rPr>
          <w:rFonts w:ascii="Times New Roman" w:hAnsi="Times New Roman"/>
          <w:sz w:val="16"/>
          <w:szCs w:val="16"/>
        </w:rPr>
        <w:t>Г</w:t>
      </w:r>
      <w:r w:rsidRPr="00F87B85">
        <w:rPr>
          <w:rFonts w:ascii="Times New Roman" w:hAnsi="Times New Roman"/>
          <w:sz w:val="16"/>
          <w:szCs w:val="16"/>
        </w:rPr>
        <w:t>лавно поради промените в няколко енергийно интензивни сектора (желязо и стомана , цветни метали, химически и нефтохимически продукти и др.).</w:t>
      </w:r>
    </w:p>
  </w:footnote>
  <w:footnote w:id="107">
    <w:p w:rsidR="00D20631" w:rsidRPr="006757FD" w:rsidRDefault="00D20631" w:rsidP="00AE0F90">
      <w:pPr>
        <w:pStyle w:val="FootnoteText"/>
        <w:rPr>
          <w:rFonts w:ascii="Times New Roman" w:hAnsi="Times New Roman"/>
          <w:sz w:val="16"/>
          <w:szCs w:val="16"/>
        </w:rPr>
      </w:pPr>
      <w:r w:rsidRPr="006757FD">
        <w:rPr>
          <w:rStyle w:val="FootnoteReference"/>
          <w:rFonts w:ascii="Times New Roman" w:hAnsi="Times New Roman"/>
          <w:sz w:val="16"/>
          <w:szCs w:val="16"/>
        </w:rPr>
        <w:footnoteRef/>
      </w:r>
      <w:r w:rsidRPr="006757FD">
        <w:rPr>
          <w:rFonts w:ascii="Times New Roman" w:hAnsi="Times New Roman"/>
          <w:sz w:val="16"/>
          <w:szCs w:val="16"/>
        </w:rPr>
        <w:t xml:space="preserve"> </w:t>
      </w:r>
      <w:r w:rsidRPr="006757FD">
        <w:rPr>
          <w:rFonts w:ascii="Times New Roman" w:hAnsi="Times New Roman"/>
          <w:sz w:val="16"/>
          <w:szCs w:val="16"/>
        </w:rPr>
        <w:t>По данни от 2015 г.</w:t>
      </w:r>
    </w:p>
  </w:footnote>
  <w:footnote w:id="108">
    <w:p w:rsidR="00D20631" w:rsidRPr="00225E47" w:rsidRDefault="00D20631" w:rsidP="00AE0F90">
      <w:pPr>
        <w:pStyle w:val="FootnoteText"/>
        <w:rPr>
          <w:rFonts w:ascii="Times New Roman" w:hAnsi="Times New Roman"/>
          <w:sz w:val="16"/>
          <w:szCs w:val="16"/>
        </w:rPr>
      </w:pPr>
      <w:r w:rsidRPr="00225E47">
        <w:rPr>
          <w:rStyle w:val="FootnoteReference"/>
          <w:rFonts w:ascii="Times New Roman" w:hAnsi="Times New Roman"/>
          <w:sz w:val="16"/>
          <w:szCs w:val="16"/>
        </w:rPr>
        <w:footnoteRef/>
      </w:r>
      <w:r w:rsidRPr="00225E47">
        <w:rPr>
          <w:rFonts w:ascii="Times New Roman" w:hAnsi="Times New Roman"/>
          <w:sz w:val="16"/>
          <w:szCs w:val="16"/>
        </w:rPr>
        <w:t xml:space="preserve"> </w:t>
      </w:r>
      <w:r w:rsidRPr="00225E47">
        <w:rPr>
          <w:rFonts w:ascii="Times New Roman" w:hAnsi="Times New Roman"/>
          <w:sz w:val="16"/>
          <w:szCs w:val="16"/>
        </w:rPr>
        <w:t>През 2015 г.</w:t>
      </w:r>
    </w:p>
  </w:footnote>
  <w:footnote w:id="109">
    <w:p w:rsidR="00D20631" w:rsidRPr="00225E47" w:rsidRDefault="00D20631" w:rsidP="00AE0F90">
      <w:pPr>
        <w:pStyle w:val="FootnoteText"/>
        <w:rPr>
          <w:rFonts w:ascii="Times New Roman" w:hAnsi="Times New Roman"/>
          <w:sz w:val="16"/>
          <w:szCs w:val="16"/>
        </w:rPr>
      </w:pPr>
      <w:r w:rsidRPr="00225E47">
        <w:rPr>
          <w:rStyle w:val="FootnoteReference"/>
          <w:rFonts w:ascii="Times New Roman" w:hAnsi="Times New Roman"/>
          <w:sz w:val="16"/>
          <w:szCs w:val="16"/>
        </w:rPr>
        <w:footnoteRef/>
      </w:r>
      <w:r w:rsidRPr="00225E47">
        <w:rPr>
          <w:rFonts w:ascii="Times New Roman" w:hAnsi="Times New Roman"/>
          <w:sz w:val="16"/>
          <w:szCs w:val="16"/>
        </w:rPr>
        <w:t xml:space="preserve"> </w:t>
      </w:r>
      <w:r>
        <w:rPr>
          <w:rFonts w:ascii="Times New Roman" w:hAnsi="Times New Roman"/>
          <w:sz w:val="16"/>
          <w:szCs w:val="16"/>
        </w:rPr>
        <w:t>И</w:t>
      </w:r>
      <w:r w:rsidRPr="00225E47">
        <w:rPr>
          <w:rFonts w:ascii="Times New Roman" w:hAnsi="Times New Roman"/>
          <w:sz w:val="16"/>
          <w:szCs w:val="16"/>
        </w:rPr>
        <w:t>змерена както с използваната енергия (коригирана за различията в климата в отделните ДЧ) на квадратен метър обитаема площ, така и с енергийно потребление на глава от населението.</w:t>
      </w:r>
    </w:p>
  </w:footnote>
  <w:footnote w:id="110">
    <w:p w:rsidR="00D20631" w:rsidRPr="00225E47" w:rsidRDefault="00D20631" w:rsidP="00AE0F90">
      <w:pPr>
        <w:pStyle w:val="FootnoteText"/>
        <w:rPr>
          <w:rFonts w:ascii="Times New Roman" w:hAnsi="Times New Roman"/>
          <w:sz w:val="16"/>
          <w:szCs w:val="16"/>
        </w:rPr>
      </w:pPr>
      <w:r w:rsidRPr="00225E47">
        <w:rPr>
          <w:rStyle w:val="FootnoteReference"/>
          <w:rFonts w:ascii="Times New Roman" w:hAnsi="Times New Roman"/>
          <w:sz w:val="16"/>
          <w:szCs w:val="16"/>
        </w:rPr>
        <w:footnoteRef/>
      </w:r>
      <w:r w:rsidRPr="00225E47">
        <w:rPr>
          <w:rFonts w:ascii="Times New Roman" w:hAnsi="Times New Roman"/>
          <w:sz w:val="16"/>
          <w:szCs w:val="16"/>
        </w:rPr>
        <w:t xml:space="preserve"> </w:t>
      </w:r>
      <w:r w:rsidRPr="00225E47">
        <w:rPr>
          <w:rFonts w:ascii="Times New Roman" w:hAnsi="Times New Roman"/>
          <w:sz w:val="16"/>
          <w:szCs w:val="16"/>
        </w:rPr>
        <w:t>През 2015 г. енергийната интензивност на българските домакинства е по-ниска с 34%</w:t>
      </w:r>
      <w:r>
        <w:rPr>
          <w:rFonts w:ascii="Times New Roman" w:hAnsi="Times New Roman"/>
          <w:sz w:val="16"/>
          <w:szCs w:val="16"/>
        </w:rPr>
        <w:t xml:space="preserve"> </w:t>
      </w:r>
      <w:r w:rsidRPr="00225E47">
        <w:rPr>
          <w:rFonts w:ascii="Times New Roman" w:hAnsi="Times New Roman"/>
          <w:sz w:val="16"/>
          <w:szCs w:val="16"/>
        </w:rPr>
        <w:t>от средната за ЕС.</w:t>
      </w:r>
    </w:p>
  </w:footnote>
  <w:footnote w:id="111">
    <w:p w:rsidR="00D20631" w:rsidRPr="00897D1A" w:rsidRDefault="00D20631" w:rsidP="00AE0F90">
      <w:pPr>
        <w:pStyle w:val="FootnoteText"/>
        <w:rPr>
          <w:rFonts w:ascii="Times New Roman" w:hAnsi="Times New Roman"/>
          <w:sz w:val="16"/>
          <w:szCs w:val="16"/>
        </w:rPr>
      </w:pPr>
      <w:r w:rsidRPr="00897D1A">
        <w:rPr>
          <w:rStyle w:val="FootnoteReference"/>
          <w:rFonts w:ascii="Times New Roman" w:hAnsi="Times New Roman"/>
          <w:sz w:val="16"/>
          <w:szCs w:val="16"/>
        </w:rPr>
        <w:footnoteRef/>
      </w:r>
      <w:r w:rsidRPr="00897D1A">
        <w:rPr>
          <w:rFonts w:ascii="Times New Roman" w:hAnsi="Times New Roman"/>
          <w:sz w:val="16"/>
          <w:szCs w:val="16"/>
        </w:rPr>
        <w:t xml:space="preserve"> </w:t>
      </w:r>
      <w:r>
        <w:rPr>
          <w:rFonts w:ascii="Times New Roman" w:hAnsi="Times New Roman"/>
          <w:sz w:val="16"/>
          <w:szCs w:val="16"/>
        </w:rPr>
        <w:t>И</w:t>
      </w:r>
      <w:r w:rsidRPr="00897D1A">
        <w:rPr>
          <w:rFonts w:ascii="Times New Roman" w:hAnsi="Times New Roman"/>
          <w:sz w:val="16"/>
          <w:szCs w:val="16"/>
        </w:rPr>
        <w:t>змерен в кг CO</w:t>
      </w:r>
      <w:r w:rsidRPr="00897D1A">
        <w:rPr>
          <w:rFonts w:ascii="Times New Roman" w:hAnsi="Times New Roman"/>
          <w:sz w:val="16"/>
          <w:szCs w:val="16"/>
          <w:vertAlign w:val="subscript"/>
        </w:rPr>
        <w:t>2</w:t>
      </w:r>
      <w:r w:rsidRPr="00897D1A">
        <w:rPr>
          <w:rFonts w:ascii="Times New Roman" w:hAnsi="Times New Roman"/>
          <w:sz w:val="16"/>
          <w:szCs w:val="16"/>
        </w:rPr>
        <w:t xml:space="preserve"> еквивалент в единица БВП (в евро, по постоянни цени на 2010 г.)</w:t>
      </w:r>
      <w:r>
        <w:rPr>
          <w:rFonts w:ascii="Times New Roman" w:hAnsi="Times New Roman"/>
          <w:sz w:val="16"/>
          <w:szCs w:val="16"/>
        </w:rPr>
        <w:t>.</w:t>
      </w:r>
    </w:p>
  </w:footnote>
  <w:footnote w:id="112">
    <w:p w:rsidR="00D20631" w:rsidRPr="00897D1A" w:rsidRDefault="00D20631" w:rsidP="00AE0F90">
      <w:pPr>
        <w:pStyle w:val="FootnoteText"/>
        <w:rPr>
          <w:rFonts w:ascii="Times New Roman" w:hAnsi="Times New Roman"/>
          <w:sz w:val="16"/>
          <w:szCs w:val="16"/>
        </w:rPr>
      </w:pPr>
      <w:r w:rsidRPr="00897D1A">
        <w:rPr>
          <w:rStyle w:val="FootnoteReference"/>
          <w:rFonts w:ascii="Times New Roman" w:hAnsi="Times New Roman"/>
          <w:sz w:val="16"/>
          <w:szCs w:val="16"/>
        </w:rPr>
        <w:footnoteRef/>
      </w:r>
      <w:r w:rsidRPr="00897D1A">
        <w:rPr>
          <w:rFonts w:ascii="Times New Roman" w:hAnsi="Times New Roman"/>
          <w:sz w:val="16"/>
          <w:szCs w:val="16"/>
        </w:rPr>
        <w:t xml:space="preserve"> </w:t>
      </w:r>
      <w:r w:rsidRPr="00897D1A">
        <w:rPr>
          <w:rFonts w:ascii="Times New Roman" w:hAnsi="Times New Roman"/>
          <w:sz w:val="16"/>
          <w:szCs w:val="16"/>
        </w:rPr>
        <w:t>По данни на Европейската агенция за околна среда.</w:t>
      </w:r>
    </w:p>
  </w:footnote>
  <w:footnote w:id="113">
    <w:p w:rsidR="00D20631" w:rsidRPr="002F38E5" w:rsidRDefault="00D20631" w:rsidP="00AE0F90">
      <w:pPr>
        <w:pStyle w:val="FootnoteText"/>
        <w:rPr>
          <w:rFonts w:ascii="Times New Roman" w:hAnsi="Times New Roman"/>
          <w:sz w:val="16"/>
          <w:szCs w:val="16"/>
        </w:rPr>
      </w:pPr>
      <w:r w:rsidRPr="00D17682">
        <w:rPr>
          <w:rStyle w:val="FootnoteReference"/>
          <w:rFonts w:ascii="Times New Roman" w:hAnsi="Times New Roman"/>
          <w:sz w:val="16"/>
          <w:szCs w:val="16"/>
          <w:lang w:val="en-GB"/>
        </w:rPr>
        <w:footnoteRef/>
      </w:r>
      <w:r w:rsidRPr="00D17682">
        <w:rPr>
          <w:rFonts w:ascii="Times New Roman" w:hAnsi="Times New Roman"/>
          <w:sz w:val="16"/>
          <w:szCs w:val="16"/>
          <w:lang w:val="en-GB"/>
        </w:rPr>
        <w:t xml:space="preserve"> Energy Union Factsheet Bulgaria 2017</w:t>
      </w:r>
      <w:r>
        <w:rPr>
          <w:rFonts w:ascii="Times New Roman" w:hAnsi="Times New Roman"/>
          <w:sz w:val="16"/>
          <w:szCs w:val="16"/>
        </w:rPr>
        <w:t>.</w:t>
      </w:r>
    </w:p>
  </w:footnote>
  <w:footnote w:id="114">
    <w:p w:rsidR="00D20631" w:rsidRPr="002F38E5" w:rsidRDefault="00D20631" w:rsidP="00AE0F90">
      <w:pPr>
        <w:pStyle w:val="FootnoteText"/>
        <w:rPr>
          <w:rFonts w:ascii="Times New Roman" w:hAnsi="Times New Roman"/>
          <w:sz w:val="16"/>
          <w:szCs w:val="16"/>
        </w:rPr>
      </w:pPr>
      <w:r w:rsidRPr="002F38E5">
        <w:rPr>
          <w:rStyle w:val="FootnoteReference"/>
          <w:rFonts w:ascii="Times New Roman" w:hAnsi="Times New Roman"/>
          <w:sz w:val="16"/>
          <w:szCs w:val="16"/>
        </w:rPr>
        <w:footnoteRef/>
      </w:r>
      <w:r w:rsidRPr="002F38E5">
        <w:rPr>
          <w:rFonts w:ascii="Times New Roman" w:hAnsi="Times New Roman"/>
          <w:sz w:val="16"/>
          <w:szCs w:val="16"/>
        </w:rPr>
        <w:t xml:space="preserve"> </w:t>
      </w:r>
      <w:r w:rsidRPr="002F38E5">
        <w:rPr>
          <w:rFonts w:ascii="Times New Roman" w:hAnsi="Times New Roman"/>
          <w:sz w:val="16"/>
          <w:szCs w:val="16"/>
          <w:lang w:val="en-GB"/>
        </w:rPr>
        <w:t>Energy Union Factsheet Bulgaria 2017</w:t>
      </w:r>
      <w:r>
        <w:rPr>
          <w:rFonts w:ascii="Times New Roman" w:hAnsi="Times New Roman"/>
          <w:sz w:val="16"/>
          <w:szCs w:val="16"/>
        </w:rPr>
        <w:t>.</w:t>
      </w:r>
    </w:p>
  </w:footnote>
  <w:footnote w:id="115">
    <w:p w:rsidR="00D20631" w:rsidRPr="00D852DB" w:rsidRDefault="00D20631" w:rsidP="00AE0F90">
      <w:pPr>
        <w:pStyle w:val="FootnoteText"/>
        <w:rPr>
          <w:rFonts w:ascii="Times New Roman" w:hAnsi="Times New Roman"/>
          <w:sz w:val="16"/>
          <w:szCs w:val="16"/>
        </w:rPr>
      </w:pPr>
      <w:r w:rsidRPr="00D852DB">
        <w:rPr>
          <w:rStyle w:val="FootnoteReference"/>
          <w:rFonts w:ascii="Times New Roman" w:hAnsi="Times New Roman"/>
          <w:sz w:val="16"/>
          <w:szCs w:val="16"/>
        </w:rPr>
        <w:footnoteRef/>
      </w:r>
      <w:r w:rsidRPr="00D852DB">
        <w:rPr>
          <w:rFonts w:ascii="Times New Roman" w:hAnsi="Times New Roman"/>
          <w:sz w:val="16"/>
          <w:szCs w:val="16"/>
        </w:rPr>
        <w:t xml:space="preserve"> </w:t>
      </w:r>
      <w:r>
        <w:rPr>
          <w:rFonts w:ascii="Times New Roman" w:hAnsi="Times New Roman"/>
          <w:sz w:val="16"/>
          <w:szCs w:val="16"/>
        </w:rPr>
        <w:t>За сравнение, по данни на АПИ, гъстотата на магистралите в Германия, Италия, Испания, Франция и Холандия варира в интервала 0.028-0.032 км/км</w:t>
      </w:r>
      <w:r>
        <w:rPr>
          <w:rFonts w:ascii="Times New Roman" w:hAnsi="Times New Roman"/>
          <w:sz w:val="16"/>
          <w:szCs w:val="16"/>
          <w:vertAlign w:val="superscript"/>
        </w:rPr>
        <w:t>2</w:t>
      </w:r>
      <w:r>
        <w:rPr>
          <w:rFonts w:ascii="Times New Roman" w:hAnsi="Times New Roman"/>
          <w:sz w:val="16"/>
          <w:szCs w:val="16"/>
        </w:rPr>
        <w:t>.</w:t>
      </w:r>
    </w:p>
  </w:footnote>
  <w:footnote w:id="116">
    <w:p w:rsidR="00D20631" w:rsidRPr="001D3961" w:rsidRDefault="00D20631" w:rsidP="00AE0F90">
      <w:pPr>
        <w:pStyle w:val="FootnoteText"/>
        <w:rPr>
          <w:rFonts w:ascii="Times New Roman" w:hAnsi="Times New Roman"/>
          <w:sz w:val="16"/>
          <w:szCs w:val="16"/>
        </w:rPr>
      </w:pPr>
      <w:r w:rsidRPr="001D3961">
        <w:rPr>
          <w:rStyle w:val="FootnoteReference"/>
          <w:rFonts w:ascii="Times New Roman" w:hAnsi="Times New Roman"/>
          <w:sz w:val="16"/>
          <w:szCs w:val="16"/>
        </w:rPr>
        <w:footnoteRef/>
      </w:r>
      <w:r w:rsidRPr="001D3961">
        <w:rPr>
          <w:rFonts w:ascii="Times New Roman" w:hAnsi="Times New Roman"/>
          <w:sz w:val="16"/>
          <w:szCs w:val="16"/>
        </w:rPr>
        <w:t xml:space="preserve"> </w:t>
      </w:r>
      <w:r w:rsidRPr="001D3961">
        <w:rPr>
          <w:rFonts w:ascii="Times New Roman" w:hAnsi="Times New Roman"/>
          <w:sz w:val="16"/>
          <w:szCs w:val="16"/>
        </w:rPr>
        <w:t xml:space="preserve">EU </w:t>
      </w:r>
      <w:proofErr w:type="spellStart"/>
      <w:r w:rsidRPr="001D3961">
        <w:rPr>
          <w:rFonts w:ascii="Times New Roman" w:hAnsi="Times New Roman"/>
          <w:sz w:val="16"/>
          <w:szCs w:val="16"/>
        </w:rPr>
        <w:t>Transport</w:t>
      </w:r>
      <w:proofErr w:type="spellEnd"/>
      <w:r w:rsidRPr="001D3961">
        <w:rPr>
          <w:rFonts w:ascii="Times New Roman" w:hAnsi="Times New Roman"/>
          <w:sz w:val="16"/>
          <w:szCs w:val="16"/>
        </w:rPr>
        <w:t xml:space="preserve"> </w:t>
      </w:r>
      <w:proofErr w:type="spellStart"/>
      <w:r w:rsidRPr="001D3961">
        <w:rPr>
          <w:rFonts w:ascii="Times New Roman" w:hAnsi="Times New Roman"/>
          <w:sz w:val="16"/>
          <w:szCs w:val="16"/>
        </w:rPr>
        <w:t>Scoreboard</w:t>
      </w:r>
      <w:proofErr w:type="spellEnd"/>
      <w:r w:rsidRPr="001D3961">
        <w:rPr>
          <w:rFonts w:ascii="Times New Roman" w:hAnsi="Times New Roman"/>
          <w:sz w:val="16"/>
          <w:szCs w:val="16"/>
        </w:rPr>
        <w:t>, EC</w:t>
      </w:r>
    </w:p>
  </w:footnote>
  <w:footnote w:id="117">
    <w:p w:rsidR="00D20631" w:rsidRPr="005F0DC3" w:rsidRDefault="00D20631" w:rsidP="00AE0F90">
      <w:pPr>
        <w:pStyle w:val="FootnoteText"/>
        <w:rPr>
          <w:rFonts w:ascii="Times New Roman" w:hAnsi="Times New Roman"/>
          <w:sz w:val="16"/>
          <w:szCs w:val="16"/>
        </w:rPr>
      </w:pPr>
      <w:r w:rsidRPr="005F0DC3">
        <w:rPr>
          <w:rStyle w:val="FootnoteReference"/>
          <w:rFonts w:ascii="Times New Roman" w:hAnsi="Times New Roman"/>
          <w:sz w:val="16"/>
          <w:szCs w:val="16"/>
        </w:rPr>
        <w:footnoteRef/>
      </w:r>
      <w:r w:rsidRPr="005F0DC3">
        <w:rPr>
          <w:rFonts w:ascii="Times New Roman" w:hAnsi="Times New Roman"/>
          <w:sz w:val="16"/>
          <w:szCs w:val="16"/>
        </w:rPr>
        <w:t xml:space="preserve"> </w:t>
      </w:r>
      <w:r w:rsidRPr="005F0DC3">
        <w:rPr>
          <w:rFonts w:ascii="Times New Roman" w:hAnsi="Times New Roman"/>
          <w:sz w:val="16"/>
          <w:szCs w:val="16"/>
        </w:rPr>
        <w:t>Стратегия за развитие на пътната инфраструктура в Република България</w:t>
      </w:r>
      <w:r>
        <w:rPr>
          <w:rFonts w:ascii="Times New Roman" w:hAnsi="Times New Roman"/>
          <w:sz w:val="16"/>
          <w:szCs w:val="16"/>
        </w:rPr>
        <w:t xml:space="preserve"> 2016-2022 г.</w:t>
      </w:r>
    </w:p>
  </w:footnote>
  <w:footnote w:id="118">
    <w:p w:rsidR="00D20631" w:rsidRPr="001E3EA8" w:rsidRDefault="00D20631" w:rsidP="00AE0F90">
      <w:pPr>
        <w:pStyle w:val="FootnoteText"/>
        <w:rPr>
          <w:rFonts w:ascii="Times New Roman" w:hAnsi="Times New Roman"/>
          <w:sz w:val="16"/>
          <w:szCs w:val="16"/>
        </w:rPr>
      </w:pPr>
      <w:r w:rsidRPr="001E3EA8">
        <w:rPr>
          <w:rStyle w:val="FootnoteReference"/>
          <w:rFonts w:ascii="Times New Roman" w:hAnsi="Times New Roman"/>
          <w:sz w:val="16"/>
          <w:szCs w:val="16"/>
        </w:rPr>
        <w:footnoteRef/>
      </w:r>
      <w:r w:rsidRPr="001E3EA8">
        <w:rPr>
          <w:rFonts w:ascii="Times New Roman" w:hAnsi="Times New Roman"/>
          <w:sz w:val="16"/>
          <w:szCs w:val="16"/>
        </w:rPr>
        <w:t xml:space="preserve"> </w:t>
      </w:r>
      <w:r w:rsidRPr="001E3EA8">
        <w:rPr>
          <w:rFonts w:ascii="Times New Roman" w:hAnsi="Times New Roman"/>
          <w:sz w:val="16"/>
          <w:szCs w:val="16"/>
        </w:rPr>
        <w:t>Стратегия за развитие на пътната инфраструктура в Република България 2016-2022</w:t>
      </w:r>
      <w:r>
        <w:rPr>
          <w:rFonts w:ascii="Times New Roman" w:hAnsi="Times New Roman"/>
          <w:sz w:val="16"/>
          <w:szCs w:val="16"/>
        </w:rPr>
        <w:t xml:space="preserve"> г</w:t>
      </w:r>
      <w:r w:rsidRPr="001E3EA8">
        <w:rPr>
          <w:rFonts w:ascii="Times New Roman" w:hAnsi="Times New Roman"/>
          <w:sz w:val="16"/>
          <w:szCs w:val="16"/>
        </w:rPr>
        <w:t>.</w:t>
      </w:r>
    </w:p>
  </w:footnote>
  <w:footnote w:id="119">
    <w:p w:rsidR="00D20631" w:rsidRPr="00EE1785" w:rsidRDefault="00D20631" w:rsidP="00AE0F90">
      <w:pPr>
        <w:pStyle w:val="FootnoteText"/>
        <w:rPr>
          <w:rFonts w:ascii="Times New Roman" w:hAnsi="Times New Roman"/>
          <w:sz w:val="16"/>
          <w:szCs w:val="16"/>
        </w:rPr>
      </w:pPr>
      <w:r w:rsidRPr="00EE1785">
        <w:rPr>
          <w:rStyle w:val="FootnoteReference"/>
          <w:rFonts w:ascii="Times New Roman" w:hAnsi="Times New Roman"/>
          <w:sz w:val="16"/>
          <w:szCs w:val="16"/>
        </w:rPr>
        <w:footnoteRef/>
      </w:r>
      <w:r w:rsidRPr="00EE1785">
        <w:rPr>
          <w:rFonts w:ascii="Times New Roman" w:hAnsi="Times New Roman"/>
          <w:sz w:val="16"/>
          <w:szCs w:val="16"/>
        </w:rPr>
        <w:t xml:space="preserve"> </w:t>
      </w:r>
      <w:proofErr w:type="spellStart"/>
      <w:r w:rsidRPr="00EE1785">
        <w:rPr>
          <w:rFonts w:ascii="Times New Roman" w:hAnsi="Times New Roman"/>
          <w:sz w:val="16"/>
          <w:szCs w:val="16"/>
        </w:rPr>
        <w:t>Fact</w:t>
      </w:r>
      <w:proofErr w:type="spellEnd"/>
      <w:r w:rsidRPr="00EE1785">
        <w:rPr>
          <w:rFonts w:ascii="Times New Roman" w:hAnsi="Times New Roman"/>
          <w:sz w:val="16"/>
          <w:szCs w:val="16"/>
        </w:rPr>
        <w:t xml:space="preserve"> </w:t>
      </w:r>
      <w:proofErr w:type="spellStart"/>
      <w:r w:rsidRPr="00EE1785">
        <w:rPr>
          <w:rFonts w:ascii="Times New Roman" w:hAnsi="Times New Roman"/>
          <w:sz w:val="16"/>
          <w:szCs w:val="16"/>
        </w:rPr>
        <w:t>Sheet</w:t>
      </w:r>
      <w:proofErr w:type="spellEnd"/>
      <w:r w:rsidRPr="00EE1785">
        <w:rPr>
          <w:rFonts w:ascii="Times New Roman" w:hAnsi="Times New Roman"/>
          <w:sz w:val="16"/>
          <w:szCs w:val="16"/>
        </w:rPr>
        <w:t xml:space="preserve"> EU </w:t>
      </w:r>
      <w:proofErr w:type="spellStart"/>
      <w:r w:rsidRPr="00EE1785">
        <w:rPr>
          <w:rFonts w:ascii="Times New Roman" w:hAnsi="Times New Roman"/>
          <w:sz w:val="16"/>
          <w:szCs w:val="16"/>
        </w:rPr>
        <w:t>Transport</w:t>
      </w:r>
      <w:proofErr w:type="spellEnd"/>
      <w:r w:rsidRPr="00EE1785">
        <w:rPr>
          <w:rFonts w:ascii="Times New Roman" w:hAnsi="Times New Roman"/>
          <w:sz w:val="16"/>
          <w:szCs w:val="16"/>
        </w:rPr>
        <w:t xml:space="preserve"> </w:t>
      </w:r>
      <w:proofErr w:type="spellStart"/>
      <w:r w:rsidRPr="00EE1785">
        <w:rPr>
          <w:rFonts w:ascii="Times New Roman" w:hAnsi="Times New Roman"/>
          <w:sz w:val="16"/>
          <w:szCs w:val="16"/>
        </w:rPr>
        <w:t>Scoreboard</w:t>
      </w:r>
      <w:proofErr w:type="spellEnd"/>
      <w:r w:rsidRPr="00EE1785">
        <w:rPr>
          <w:rFonts w:ascii="Times New Roman" w:hAnsi="Times New Roman"/>
          <w:sz w:val="16"/>
          <w:szCs w:val="16"/>
        </w:rPr>
        <w:t>, EC</w:t>
      </w:r>
      <w:r>
        <w:rPr>
          <w:rFonts w:ascii="Times New Roman" w:hAnsi="Times New Roman"/>
          <w:sz w:val="16"/>
          <w:szCs w:val="16"/>
        </w:rPr>
        <w:t>.</w:t>
      </w:r>
    </w:p>
  </w:footnote>
  <w:footnote w:id="120">
    <w:p w:rsidR="00D20631" w:rsidRPr="002F44B7" w:rsidRDefault="00D20631" w:rsidP="00AE0F90">
      <w:pPr>
        <w:pStyle w:val="FootnoteText"/>
        <w:rPr>
          <w:rFonts w:ascii="Times New Roman" w:hAnsi="Times New Roman"/>
          <w:sz w:val="16"/>
          <w:szCs w:val="16"/>
        </w:rPr>
      </w:pPr>
      <w:r w:rsidRPr="002F44B7">
        <w:rPr>
          <w:rStyle w:val="FootnoteReference"/>
          <w:rFonts w:ascii="Times New Roman" w:hAnsi="Times New Roman"/>
          <w:sz w:val="16"/>
          <w:szCs w:val="16"/>
        </w:rPr>
        <w:footnoteRef/>
      </w:r>
      <w:r w:rsidRPr="002F44B7">
        <w:rPr>
          <w:rFonts w:ascii="Times New Roman" w:hAnsi="Times New Roman"/>
          <w:sz w:val="16"/>
          <w:szCs w:val="16"/>
        </w:rPr>
        <w:t xml:space="preserve"> </w:t>
      </w:r>
      <w:r w:rsidRPr="002F44B7">
        <w:rPr>
          <w:rFonts w:ascii="Times New Roman" w:hAnsi="Times New Roman"/>
          <w:sz w:val="16"/>
          <w:szCs w:val="16"/>
        </w:rPr>
        <w:t>Доклад за България за 2018 г., включващ задълбочен преглед относно предотвратяването и коригирането на макроикономическите дисбаланси, ЕК.</w:t>
      </w:r>
    </w:p>
  </w:footnote>
  <w:footnote w:id="121">
    <w:p w:rsidR="00D20631" w:rsidRPr="00751C8A" w:rsidRDefault="00D20631" w:rsidP="00AE0F90">
      <w:pPr>
        <w:pStyle w:val="FootnoteText"/>
        <w:rPr>
          <w:rFonts w:ascii="Times New Roman" w:hAnsi="Times New Roman"/>
          <w:sz w:val="16"/>
          <w:szCs w:val="16"/>
          <w:lang w:val="en-US"/>
        </w:rPr>
      </w:pPr>
      <w:r w:rsidRPr="00751C8A">
        <w:rPr>
          <w:rStyle w:val="FootnoteReference"/>
          <w:rFonts w:ascii="Times New Roman" w:hAnsi="Times New Roman"/>
          <w:sz w:val="16"/>
          <w:szCs w:val="16"/>
        </w:rPr>
        <w:footnoteRef/>
      </w:r>
      <w:r w:rsidRPr="00751C8A">
        <w:rPr>
          <w:rFonts w:ascii="Times New Roman" w:hAnsi="Times New Roman"/>
          <w:sz w:val="16"/>
          <w:szCs w:val="16"/>
        </w:rPr>
        <w:t xml:space="preserve"> </w:t>
      </w:r>
      <w:proofErr w:type="spellStart"/>
      <w:r w:rsidRPr="00751C8A">
        <w:rPr>
          <w:rFonts w:ascii="Times New Roman" w:hAnsi="Times New Roman"/>
          <w:sz w:val="16"/>
          <w:szCs w:val="16"/>
        </w:rPr>
        <w:t>Fact</w:t>
      </w:r>
      <w:proofErr w:type="spellEnd"/>
      <w:r w:rsidRPr="00751C8A">
        <w:rPr>
          <w:rFonts w:ascii="Times New Roman" w:hAnsi="Times New Roman"/>
          <w:sz w:val="16"/>
          <w:szCs w:val="16"/>
        </w:rPr>
        <w:t xml:space="preserve"> </w:t>
      </w:r>
      <w:proofErr w:type="spellStart"/>
      <w:r w:rsidRPr="00751C8A">
        <w:rPr>
          <w:rFonts w:ascii="Times New Roman" w:hAnsi="Times New Roman"/>
          <w:sz w:val="16"/>
          <w:szCs w:val="16"/>
        </w:rPr>
        <w:t>Sheet</w:t>
      </w:r>
      <w:proofErr w:type="spellEnd"/>
      <w:r w:rsidRPr="00751C8A">
        <w:rPr>
          <w:rFonts w:ascii="Times New Roman" w:hAnsi="Times New Roman"/>
          <w:sz w:val="16"/>
          <w:szCs w:val="16"/>
        </w:rPr>
        <w:t xml:space="preserve"> EU </w:t>
      </w:r>
      <w:proofErr w:type="spellStart"/>
      <w:r w:rsidRPr="00751C8A">
        <w:rPr>
          <w:rFonts w:ascii="Times New Roman" w:hAnsi="Times New Roman"/>
          <w:sz w:val="16"/>
          <w:szCs w:val="16"/>
        </w:rPr>
        <w:t>Transport</w:t>
      </w:r>
      <w:proofErr w:type="spellEnd"/>
      <w:r w:rsidRPr="00751C8A">
        <w:rPr>
          <w:rFonts w:ascii="Times New Roman" w:hAnsi="Times New Roman"/>
          <w:sz w:val="16"/>
          <w:szCs w:val="16"/>
        </w:rPr>
        <w:t xml:space="preserve"> </w:t>
      </w:r>
      <w:proofErr w:type="spellStart"/>
      <w:r w:rsidRPr="00751C8A">
        <w:rPr>
          <w:rFonts w:ascii="Times New Roman" w:hAnsi="Times New Roman"/>
          <w:sz w:val="16"/>
          <w:szCs w:val="16"/>
        </w:rPr>
        <w:t>Scoreboard</w:t>
      </w:r>
      <w:proofErr w:type="spellEnd"/>
      <w:r w:rsidRPr="00751C8A">
        <w:rPr>
          <w:rFonts w:ascii="Times New Roman" w:hAnsi="Times New Roman"/>
          <w:sz w:val="16"/>
          <w:szCs w:val="16"/>
          <w:lang w:val="en-US"/>
        </w:rPr>
        <w:t>, EC.</w:t>
      </w:r>
    </w:p>
  </w:footnote>
  <w:footnote w:id="122">
    <w:p w:rsidR="00D20631" w:rsidRPr="00751C8A" w:rsidRDefault="00D20631" w:rsidP="00AE0F90">
      <w:pPr>
        <w:pStyle w:val="FootnoteText"/>
        <w:rPr>
          <w:rFonts w:ascii="Times New Roman" w:hAnsi="Times New Roman"/>
          <w:sz w:val="16"/>
          <w:szCs w:val="16"/>
          <w:lang w:val="en-US"/>
        </w:rPr>
      </w:pPr>
      <w:r w:rsidRPr="00751C8A">
        <w:rPr>
          <w:rStyle w:val="FootnoteReference"/>
          <w:rFonts w:ascii="Times New Roman" w:hAnsi="Times New Roman"/>
          <w:sz w:val="16"/>
          <w:szCs w:val="16"/>
        </w:rPr>
        <w:footnoteRef/>
      </w:r>
      <w:r w:rsidRPr="00751C8A">
        <w:rPr>
          <w:rFonts w:ascii="Times New Roman" w:hAnsi="Times New Roman"/>
          <w:sz w:val="16"/>
          <w:szCs w:val="16"/>
        </w:rPr>
        <w:t xml:space="preserve"> </w:t>
      </w:r>
      <w:r w:rsidRPr="00751C8A">
        <w:rPr>
          <w:rFonts w:ascii="Times New Roman" w:hAnsi="Times New Roman"/>
          <w:sz w:val="16"/>
          <w:szCs w:val="16"/>
        </w:rPr>
        <w:t>Доклад за България за 2018 г., включващ задълбочен преглед относно предотвратяването и коригирането на макроикономическите дисбаланси, ЕК.</w:t>
      </w:r>
    </w:p>
  </w:footnote>
  <w:footnote w:id="123">
    <w:p w:rsidR="00D20631" w:rsidRPr="00E25F0D" w:rsidRDefault="00D20631" w:rsidP="00AE0F90">
      <w:pPr>
        <w:pStyle w:val="FootnoteText"/>
        <w:rPr>
          <w:rFonts w:ascii="Times New Roman" w:hAnsi="Times New Roman"/>
          <w:sz w:val="16"/>
          <w:szCs w:val="16"/>
        </w:rPr>
      </w:pPr>
      <w:r w:rsidRPr="00E25F0D">
        <w:rPr>
          <w:rStyle w:val="FootnoteReference"/>
          <w:rFonts w:ascii="Times New Roman" w:hAnsi="Times New Roman"/>
          <w:sz w:val="16"/>
          <w:szCs w:val="16"/>
        </w:rPr>
        <w:footnoteRef/>
      </w:r>
      <w:r w:rsidRPr="00E25F0D">
        <w:rPr>
          <w:rFonts w:ascii="Times New Roman" w:hAnsi="Times New Roman"/>
          <w:sz w:val="16"/>
          <w:szCs w:val="16"/>
        </w:rPr>
        <w:t xml:space="preserve"> </w:t>
      </w:r>
      <w:r w:rsidRPr="00E25F0D">
        <w:rPr>
          <w:rFonts w:ascii="Times New Roman" w:hAnsi="Times New Roman"/>
          <w:sz w:val="16"/>
          <w:szCs w:val="16"/>
        </w:rPr>
        <w:t>Интегрирана транспортна стратегия в периода до 2030 г.</w:t>
      </w:r>
      <w:r>
        <w:rPr>
          <w:rFonts w:ascii="Times New Roman" w:hAnsi="Times New Roman"/>
          <w:sz w:val="16"/>
          <w:szCs w:val="16"/>
        </w:rPr>
        <w:t>, 2017 г.</w:t>
      </w:r>
    </w:p>
  </w:footnote>
  <w:footnote w:id="124">
    <w:p w:rsidR="00D20631" w:rsidRPr="00B66FE9" w:rsidRDefault="00D20631" w:rsidP="00AE0F90">
      <w:pPr>
        <w:pStyle w:val="FootnoteText"/>
        <w:rPr>
          <w:rFonts w:ascii="Times New Roman" w:hAnsi="Times New Roman"/>
          <w:sz w:val="16"/>
          <w:szCs w:val="16"/>
        </w:rPr>
      </w:pPr>
      <w:r w:rsidRPr="00B66FE9">
        <w:rPr>
          <w:rStyle w:val="FootnoteReference"/>
          <w:rFonts w:ascii="Times New Roman" w:hAnsi="Times New Roman"/>
          <w:sz w:val="16"/>
          <w:szCs w:val="16"/>
        </w:rPr>
        <w:footnoteRef/>
      </w:r>
      <w:r w:rsidRPr="00B66FE9">
        <w:rPr>
          <w:rFonts w:ascii="Times New Roman" w:hAnsi="Times New Roman"/>
          <w:sz w:val="16"/>
          <w:szCs w:val="16"/>
        </w:rPr>
        <w:t xml:space="preserve"> </w:t>
      </w:r>
      <w:r w:rsidRPr="00B66FE9">
        <w:rPr>
          <w:rFonts w:ascii="Times New Roman" w:hAnsi="Times New Roman"/>
          <w:sz w:val="16"/>
          <w:szCs w:val="16"/>
        </w:rPr>
        <w:t>Интегрирана транспортна стратегия в периода до 2030 г., 2017 г.</w:t>
      </w:r>
    </w:p>
  </w:footnote>
  <w:footnote w:id="125">
    <w:p w:rsidR="00D20631" w:rsidRPr="00C4678E" w:rsidRDefault="00D20631" w:rsidP="00AE0F90">
      <w:pPr>
        <w:pStyle w:val="FootnoteText"/>
        <w:rPr>
          <w:rFonts w:ascii="Times New Roman" w:hAnsi="Times New Roman"/>
          <w:sz w:val="16"/>
          <w:szCs w:val="16"/>
        </w:rPr>
      </w:pPr>
      <w:r w:rsidRPr="00C4678E">
        <w:rPr>
          <w:rStyle w:val="FootnoteReference"/>
          <w:rFonts w:ascii="Times New Roman" w:hAnsi="Times New Roman"/>
          <w:sz w:val="16"/>
          <w:szCs w:val="16"/>
        </w:rPr>
        <w:footnoteRef/>
      </w:r>
      <w:r w:rsidRPr="00C4678E">
        <w:rPr>
          <w:rFonts w:ascii="Times New Roman" w:hAnsi="Times New Roman"/>
          <w:sz w:val="16"/>
          <w:szCs w:val="16"/>
        </w:rPr>
        <w:t xml:space="preserve"> </w:t>
      </w:r>
      <w:r w:rsidRPr="00C4678E">
        <w:rPr>
          <w:rFonts w:ascii="Times New Roman" w:hAnsi="Times New Roman"/>
          <w:sz w:val="16"/>
          <w:szCs w:val="16"/>
        </w:rPr>
        <w:t>Национален доклад за състоянието и опазването на околната среда, МОСВ и ИАОС, 2018 г.</w:t>
      </w:r>
    </w:p>
  </w:footnote>
  <w:footnote w:id="126">
    <w:p w:rsidR="00D20631" w:rsidRPr="00C4678E" w:rsidRDefault="00D20631" w:rsidP="00AE0F90">
      <w:pPr>
        <w:pStyle w:val="FootnoteText"/>
        <w:rPr>
          <w:rFonts w:ascii="Times New Roman" w:hAnsi="Times New Roman"/>
          <w:sz w:val="16"/>
          <w:szCs w:val="16"/>
        </w:rPr>
      </w:pPr>
      <w:r w:rsidRPr="00C4678E">
        <w:rPr>
          <w:rStyle w:val="FootnoteReference"/>
          <w:rFonts w:ascii="Times New Roman" w:hAnsi="Times New Roman"/>
          <w:sz w:val="16"/>
          <w:szCs w:val="16"/>
        </w:rPr>
        <w:footnoteRef/>
      </w:r>
      <w:r w:rsidRPr="00C4678E">
        <w:rPr>
          <w:rFonts w:ascii="Times New Roman" w:hAnsi="Times New Roman"/>
          <w:sz w:val="16"/>
          <w:szCs w:val="16"/>
        </w:rPr>
        <w:t xml:space="preserve"> </w:t>
      </w:r>
      <w:r w:rsidRPr="00C4678E">
        <w:rPr>
          <w:rFonts w:ascii="Times New Roman" w:hAnsi="Times New Roman"/>
          <w:sz w:val="16"/>
          <w:szCs w:val="16"/>
        </w:rPr>
        <w:t>Преглед на изпълнението на политиките на ЕС в областта на околната среда: общи предизвикателства и начини за обединяване на усилията с цел постигане на по-добри резултати, ЕК, 2017 г.</w:t>
      </w:r>
    </w:p>
  </w:footnote>
  <w:footnote w:id="127">
    <w:p w:rsidR="00D20631" w:rsidRPr="00181B68" w:rsidRDefault="00D20631" w:rsidP="00AE0F90">
      <w:pPr>
        <w:pStyle w:val="FootnoteText"/>
        <w:rPr>
          <w:rFonts w:ascii="Times New Roman" w:hAnsi="Times New Roman"/>
          <w:sz w:val="16"/>
          <w:szCs w:val="16"/>
        </w:rPr>
      </w:pPr>
      <w:r w:rsidRPr="00181B68">
        <w:rPr>
          <w:rStyle w:val="FootnoteReference"/>
          <w:rFonts w:ascii="Times New Roman" w:hAnsi="Times New Roman"/>
          <w:sz w:val="16"/>
          <w:szCs w:val="16"/>
        </w:rPr>
        <w:footnoteRef/>
      </w:r>
      <w:r w:rsidRPr="00181B68">
        <w:rPr>
          <w:rFonts w:ascii="Times New Roman" w:hAnsi="Times New Roman"/>
          <w:sz w:val="16"/>
          <w:szCs w:val="16"/>
        </w:rPr>
        <w:t xml:space="preserve"> </w:t>
      </w:r>
      <w:r w:rsidRPr="00181B68">
        <w:rPr>
          <w:rFonts w:ascii="Times New Roman" w:hAnsi="Times New Roman"/>
          <w:sz w:val="16"/>
          <w:szCs w:val="16"/>
        </w:rPr>
        <w:t>Директива 91/271/ЕО</w:t>
      </w:r>
      <w:r>
        <w:rPr>
          <w:rFonts w:ascii="Times New Roman" w:hAnsi="Times New Roman"/>
          <w:sz w:val="16"/>
          <w:szCs w:val="16"/>
        </w:rPr>
        <w:t>.</w:t>
      </w:r>
    </w:p>
  </w:footnote>
  <w:footnote w:id="128">
    <w:p w:rsidR="00D20631" w:rsidRPr="00181B68" w:rsidRDefault="00D20631" w:rsidP="00AE0F90">
      <w:pPr>
        <w:pStyle w:val="FootnoteText"/>
        <w:rPr>
          <w:rFonts w:ascii="Times New Roman" w:hAnsi="Times New Roman"/>
          <w:sz w:val="16"/>
          <w:szCs w:val="16"/>
        </w:rPr>
      </w:pPr>
      <w:r w:rsidRPr="00181B68">
        <w:rPr>
          <w:rStyle w:val="FootnoteReference"/>
          <w:rFonts w:ascii="Times New Roman" w:hAnsi="Times New Roman"/>
          <w:sz w:val="16"/>
          <w:szCs w:val="16"/>
        </w:rPr>
        <w:footnoteRef/>
      </w:r>
      <w:r w:rsidRPr="00181B68">
        <w:rPr>
          <w:rFonts w:ascii="Times New Roman" w:hAnsi="Times New Roman"/>
          <w:sz w:val="16"/>
          <w:szCs w:val="16"/>
        </w:rPr>
        <w:t xml:space="preserve"> </w:t>
      </w:r>
      <w:r w:rsidRPr="006D3339">
        <w:rPr>
          <w:rFonts w:ascii="Times New Roman" w:hAnsi="Times New Roman"/>
          <w:sz w:val="16"/>
          <w:szCs w:val="16"/>
        </w:rPr>
        <w:t xml:space="preserve">Национален доклад с програмата за прилагане на изискванията на Директива </w:t>
      </w:r>
      <w:proofErr w:type="spellStart"/>
      <w:r w:rsidRPr="006D3339">
        <w:rPr>
          <w:rFonts w:ascii="Times New Roman" w:hAnsi="Times New Roman"/>
          <w:sz w:val="16"/>
          <w:szCs w:val="16"/>
        </w:rPr>
        <w:t>директива</w:t>
      </w:r>
      <w:proofErr w:type="spellEnd"/>
      <w:r w:rsidRPr="006D3339">
        <w:rPr>
          <w:rFonts w:ascii="Times New Roman" w:hAnsi="Times New Roman"/>
          <w:sz w:val="16"/>
          <w:szCs w:val="16"/>
        </w:rPr>
        <w:t xml:space="preserve"> 91/271/ЕИО, 2018</w:t>
      </w:r>
      <w:r>
        <w:rPr>
          <w:rFonts w:ascii="Times New Roman" w:hAnsi="Times New Roman"/>
          <w:sz w:val="16"/>
          <w:szCs w:val="16"/>
        </w:rPr>
        <w:t xml:space="preserve"> </w:t>
      </w:r>
      <w:r w:rsidRPr="00181B68">
        <w:rPr>
          <w:rFonts w:ascii="Times New Roman" w:hAnsi="Times New Roman"/>
          <w:sz w:val="16"/>
          <w:szCs w:val="16"/>
        </w:rPr>
        <w:t>г.</w:t>
      </w:r>
    </w:p>
  </w:footnote>
  <w:footnote w:id="129">
    <w:p w:rsidR="00D20631" w:rsidRPr="00376F6D" w:rsidRDefault="00D20631" w:rsidP="00AE0F90">
      <w:pPr>
        <w:pStyle w:val="FootnoteText"/>
        <w:rPr>
          <w:rFonts w:ascii="Times New Roman" w:hAnsi="Times New Roman"/>
          <w:sz w:val="16"/>
          <w:szCs w:val="16"/>
        </w:rPr>
      </w:pPr>
      <w:r w:rsidRPr="00376F6D">
        <w:rPr>
          <w:rStyle w:val="FootnoteReference"/>
          <w:rFonts w:ascii="Times New Roman" w:hAnsi="Times New Roman"/>
          <w:sz w:val="16"/>
          <w:szCs w:val="16"/>
        </w:rPr>
        <w:footnoteRef/>
      </w:r>
      <w:r w:rsidRPr="00376F6D">
        <w:rPr>
          <w:rFonts w:ascii="Times New Roman" w:hAnsi="Times New Roman"/>
          <w:sz w:val="16"/>
          <w:szCs w:val="16"/>
        </w:rPr>
        <w:t xml:space="preserve">   </w:t>
      </w:r>
      <w:r w:rsidRPr="00376F6D">
        <w:rPr>
          <w:rFonts w:ascii="Times New Roman" w:hAnsi="Times New Roman"/>
          <w:sz w:val="16"/>
          <w:szCs w:val="16"/>
        </w:rPr>
        <w:t>Преглед на изпълнението на политиките на ЕС в областта на околната среда: общи предизвикателства и начини за обединяване на усилията с цел постигане на по-добри резултати, ЕК, 2017 г.</w:t>
      </w:r>
    </w:p>
  </w:footnote>
  <w:footnote w:id="130">
    <w:p w:rsidR="00D20631" w:rsidRPr="00EB3489" w:rsidRDefault="00D20631" w:rsidP="00AE0F90">
      <w:pPr>
        <w:pStyle w:val="FootnoteText"/>
        <w:rPr>
          <w:rFonts w:ascii="Times New Roman" w:hAnsi="Times New Roman"/>
          <w:sz w:val="16"/>
          <w:szCs w:val="16"/>
        </w:rPr>
      </w:pPr>
      <w:r w:rsidRPr="00EB3489">
        <w:rPr>
          <w:rStyle w:val="FootnoteReference"/>
          <w:rFonts w:ascii="Times New Roman" w:hAnsi="Times New Roman"/>
          <w:sz w:val="16"/>
          <w:szCs w:val="16"/>
        </w:rPr>
        <w:footnoteRef/>
      </w:r>
      <w:r w:rsidRPr="00EB3489">
        <w:rPr>
          <w:rFonts w:ascii="Times New Roman" w:hAnsi="Times New Roman"/>
          <w:sz w:val="16"/>
          <w:szCs w:val="16"/>
        </w:rPr>
        <w:t xml:space="preserve"> </w:t>
      </w:r>
      <w:r w:rsidRPr="00EB3489">
        <w:rPr>
          <w:rFonts w:ascii="Times New Roman" w:hAnsi="Times New Roman"/>
          <w:sz w:val="16"/>
          <w:szCs w:val="16"/>
        </w:rPr>
        <w:t xml:space="preserve">Директива 2001/81/ЕО относно националните тавани за емисии на някои атмосферни замърсители и </w:t>
      </w:r>
      <w:proofErr w:type="spellStart"/>
      <w:r w:rsidRPr="00EB3489">
        <w:rPr>
          <w:rFonts w:ascii="Times New Roman" w:hAnsi="Times New Roman"/>
          <w:sz w:val="16"/>
          <w:szCs w:val="16"/>
        </w:rPr>
        <w:t>Гьотеборгския</w:t>
      </w:r>
      <w:proofErr w:type="spellEnd"/>
      <w:r w:rsidRPr="00EB3489">
        <w:rPr>
          <w:rFonts w:ascii="Times New Roman" w:hAnsi="Times New Roman"/>
          <w:sz w:val="16"/>
          <w:szCs w:val="16"/>
        </w:rPr>
        <w:t xml:space="preserve"> протокол към Конвенцията за трансгранично замърсяване на въздуха на далечни разстояния</w:t>
      </w:r>
      <w:r>
        <w:rPr>
          <w:rFonts w:ascii="Times New Roman" w:hAnsi="Times New Roman"/>
          <w:sz w:val="16"/>
          <w:szCs w:val="16"/>
        </w:rPr>
        <w:t>.</w:t>
      </w:r>
    </w:p>
  </w:footnote>
  <w:footnote w:id="131">
    <w:p w:rsidR="00D20631" w:rsidRPr="00EB3489" w:rsidRDefault="00D20631" w:rsidP="00AE0F90">
      <w:pPr>
        <w:pStyle w:val="FootnoteText"/>
        <w:rPr>
          <w:rFonts w:ascii="Times New Roman" w:hAnsi="Times New Roman"/>
          <w:sz w:val="16"/>
          <w:szCs w:val="16"/>
        </w:rPr>
      </w:pPr>
      <w:r w:rsidRPr="00EB3489">
        <w:rPr>
          <w:rStyle w:val="FootnoteReference"/>
          <w:rFonts w:ascii="Times New Roman" w:hAnsi="Times New Roman"/>
          <w:sz w:val="16"/>
          <w:szCs w:val="16"/>
        </w:rPr>
        <w:footnoteRef/>
      </w:r>
      <w:r w:rsidRPr="00EB3489">
        <w:rPr>
          <w:rFonts w:ascii="Times New Roman" w:hAnsi="Times New Roman"/>
          <w:sz w:val="16"/>
          <w:szCs w:val="16"/>
        </w:rPr>
        <w:t xml:space="preserve"> </w:t>
      </w:r>
      <w:r>
        <w:rPr>
          <w:rFonts w:ascii="Times New Roman" w:hAnsi="Times New Roman"/>
          <w:sz w:val="16"/>
          <w:szCs w:val="16"/>
        </w:rPr>
        <w:t xml:space="preserve">Определени в </w:t>
      </w:r>
      <w:r w:rsidRPr="00EB3489">
        <w:rPr>
          <w:rFonts w:ascii="Times New Roman" w:hAnsi="Times New Roman"/>
          <w:sz w:val="16"/>
          <w:szCs w:val="16"/>
        </w:rPr>
        <w:t>Национална програма за намаляване на общите годишни емисии на серен диоксид, азотни оксиди, летливи органични съединения и амоняк в атмосферния въздух</w:t>
      </w:r>
      <w:r>
        <w:rPr>
          <w:rFonts w:ascii="Times New Roman" w:hAnsi="Times New Roman"/>
          <w:sz w:val="16"/>
          <w:szCs w:val="16"/>
        </w:rPr>
        <w:t>, приета от Министерския съвет през 2007 г.</w:t>
      </w:r>
    </w:p>
  </w:footnote>
  <w:footnote w:id="132">
    <w:p w:rsidR="00D20631" w:rsidRPr="007F3ABF" w:rsidRDefault="00D20631" w:rsidP="00AE0F90">
      <w:pPr>
        <w:pStyle w:val="FootnoteText"/>
        <w:rPr>
          <w:rFonts w:ascii="Times New Roman" w:hAnsi="Times New Roman"/>
          <w:sz w:val="16"/>
          <w:szCs w:val="16"/>
        </w:rPr>
      </w:pPr>
      <w:r w:rsidRPr="007F3ABF">
        <w:rPr>
          <w:rStyle w:val="FootnoteReference"/>
          <w:rFonts w:ascii="Times New Roman" w:hAnsi="Times New Roman"/>
          <w:sz w:val="16"/>
          <w:szCs w:val="16"/>
        </w:rPr>
        <w:footnoteRef/>
      </w:r>
      <w:r w:rsidRPr="007F3ABF">
        <w:rPr>
          <w:rFonts w:ascii="Times New Roman" w:hAnsi="Times New Roman"/>
          <w:sz w:val="16"/>
          <w:szCs w:val="16"/>
        </w:rPr>
        <w:t xml:space="preserve"> </w:t>
      </w:r>
      <w:r w:rsidRPr="007F3ABF">
        <w:rPr>
          <w:rFonts w:ascii="Times New Roman" w:hAnsi="Times New Roman"/>
          <w:sz w:val="16"/>
          <w:szCs w:val="16"/>
        </w:rPr>
        <w:t>Източник: ИАОС.</w:t>
      </w:r>
    </w:p>
  </w:footnote>
  <w:footnote w:id="133">
    <w:p w:rsidR="00D20631" w:rsidRPr="00F608BC" w:rsidRDefault="00D20631" w:rsidP="00AE0F90">
      <w:pPr>
        <w:pStyle w:val="FootnoteText"/>
        <w:rPr>
          <w:rFonts w:ascii="Times New Roman" w:hAnsi="Times New Roman"/>
          <w:sz w:val="16"/>
          <w:szCs w:val="16"/>
        </w:rPr>
      </w:pPr>
      <w:r w:rsidRPr="00F608BC">
        <w:rPr>
          <w:rStyle w:val="FootnoteReference"/>
          <w:rFonts w:ascii="Times New Roman" w:hAnsi="Times New Roman"/>
          <w:sz w:val="16"/>
          <w:szCs w:val="16"/>
        </w:rPr>
        <w:footnoteRef/>
      </w:r>
      <w:r w:rsidRPr="00F608BC">
        <w:rPr>
          <w:rFonts w:ascii="Times New Roman" w:hAnsi="Times New Roman"/>
          <w:sz w:val="16"/>
          <w:szCs w:val="16"/>
        </w:rPr>
        <w:t xml:space="preserve"> </w:t>
      </w:r>
      <w:r w:rsidRPr="00F608BC">
        <w:rPr>
          <w:rFonts w:ascii="Times New Roman" w:hAnsi="Times New Roman"/>
          <w:sz w:val="16"/>
          <w:szCs w:val="16"/>
        </w:rPr>
        <w:t>Преглед на изпълнението на политиките на ЕС в областта на околната среда: общи предизвикателства и начини за обединяване на усилията с цел постигане на по-добри резултати, ЕК, 2017 г.</w:t>
      </w:r>
    </w:p>
  </w:footnote>
  <w:footnote w:id="134">
    <w:p w:rsidR="00D20631" w:rsidRPr="00BE2942" w:rsidRDefault="00D20631" w:rsidP="00AE0F90">
      <w:pPr>
        <w:pStyle w:val="FootnoteText"/>
        <w:rPr>
          <w:rFonts w:ascii="Times New Roman" w:hAnsi="Times New Roman"/>
          <w:sz w:val="16"/>
          <w:szCs w:val="16"/>
        </w:rPr>
      </w:pPr>
      <w:r w:rsidRPr="00BE2942">
        <w:rPr>
          <w:rStyle w:val="FootnoteReference"/>
          <w:rFonts w:ascii="Times New Roman" w:hAnsi="Times New Roman"/>
          <w:sz w:val="16"/>
          <w:szCs w:val="16"/>
        </w:rPr>
        <w:footnoteRef/>
      </w:r>
      <w:r w:rsidRPr="00BE2942">
        <w:rPr>
          <w:rFonts w:ascii="Times New Roman" w:hAnsi="Times New Roman"/>
          <w:sz w:val="16"/>
          <w:szCs w:val="16"/>
        </w:rPr>
        <w:t xml:space="preserve"> </w:t>
      </w:r>
      <w:r w:rsidRPr="00BE2942">
        <w:rPr>
          <w:rFonts w:ascii="Times New Roman" w:hAnsi="Times New Roman"/>
          <w:sz w:val="16"/>
          <w:szCs w:val="16"/>
        </w:rPr>
        <w:t>Преглед на изпълнението на политиките на ЕС в областта на околната среда: общи предизвикателства и начини за обединяване на усилията с цел постигане на по-добри резултати, ЕК, 2017</w:t>
      </w:r>
      <w:r>
        <w:rPr>
          <w:rFonts w:ascii="Times New Roman" w:hAnsi="Times New Roman"/>
          <w:sz w:val="16"/>
          <w:szCs w:val="16"/>
        </w:rPr>
        <w:t xml:space="preserve"> </w:t>
      </w:r>
      <w:r w:rsidRPr="00BE2942">
        <w:rPr>
          <w:rFonts w:ascii="Times New Roman" w:hAnsi="Times New Roman"/>
          <w:sz w:val="16"/>
          <w:szCs w:val="16"/>
        </w:rPr>
        <w:t>г.</w:t>
      </w:r>
    </w:p>
  </w:footnote>
  <w:footnote w:id="135">
    <w:p w:rsidR="00D20631" w:rsidRPr="00000640" w:rsidRDefault="00D20631" w:rsidP="00AE0F90">
      <w:pPr>
        <w:pStyle w:val="FootnoteText"/>
        <w:rPr>
          <w:rFonts w:ascii="Times New Roman" w:hAnsi="Times New Roman"/>
          <w:sz w:val="16"/>
          <w:szCs w:val="16"/>
        </w:rPr>
      </w:pPr>
      <w:r w:rsidRPr="00000640">
        <w:rPr>
          <w:rStyle w:val="FootnoteReference"/>
          <w:rFonts w:ascii="Times New Roman" w:hAnsi="Times New Roman"/>
          <w:sz w:val="16"/>
          <w:szCs w:val="16"/>
        </w:rPr>
        <w:footnoteRef/>
      </w:r>
      <w:r w:rsidRPr="00000640">
        <w:rPr>
          <w:rFonts w:ascii="Times New Roman" w:hAnsi="Times New Roman"/>
          <w:sz w:val="16"/>
          <w:szCs w:val="16"/>
        </w:rPr>
        <w:t xml:space="preserve"> </w:t>
      </w:r>
      <w:r w:rsidRPr="00000640">
        <w:rPr>
          <w:rFonts w:ascii="Times New Roman" w:hAnsi="Times New Roman"/>
          <w:sz w:val="16"/>
          <w:szCs w:val="16"/>
        </w:rPr>
        <w:t>Данните са от Национален доклад за състоянието и опазването на околната среда, МОСВ и ИАОС, 2018 г.</w:t>
      </w:r>
    </w:p>
  </w:footnote>
  <w:footnote w:id="136">
    <w:p w:rsidR="00D20631" w:rsidRPr="00BC457A" w:rsidRDefault="00D20631">
      <w:pPr>
        <w:pStyle w:val="FootnoteText"/>
        <w:rPr>
          <w:rFonts w:ascii="Times New Roman" w:hAnsi="Times New Roman"/>
          <w:sz w:val="16"/>
          <w:szCs w:val="16"/>
          <w:lang w:val="en-US"/>
        </w:rPr>
      </w:pPr>
      <w:r w:rsidRPr="00BC457A">
        <w:rPr>
          <w:rStyle w:val="FootnoteReference"/>
          <w:rFonts w:ascii="Times New Roman" w:hAnsi="Times New Roman"/>
          <w:sz w:val="16"/>
          <w:szCs w:val="16"/>
        </w:rPr>
        <w:footnoteRef/>
      </w:r>
      <w:r w:rsidRPr="00BC457A">
        <w:rPr>
          <w:rFonts w:ascii="Times New Roman" w:hAnsi="Times New Roman"/>
          <w:sz w:val="16"/>
          <w:szCs w:val="16"/>
        </w:rPr>
        <w:t xml:space="preserve"> </w:t>
      </w:r>
      <w:r w:rsidRPr="00BC457A">
        <w:rPr>
          <w:rFonts w:ascii="Times New Roman" w:hAnsi="Times New Roman"/>
          <w:sz w:val="16"/>
          <w:szCs w:val="16"/>
        </w:rPr>
        <w:t>Данните са от Национален доклад за състоянието и опазването на околната среда, МОСВ и ИАОС, 2018 г.</w:t>
      </w:r>
    </w:p>
  </w:footnote>
  <w:footnote w:id="137">
    <w:p w:rsidR="00D20631" w:rsidRPr="002D0BEA" w:rsidRDefault="00D20631" w:rsidP="00AE0F90">
      <w:pPr>
        <w:pStyle w:val="FootnoteText"/>
        <w:rPr>
          <w:rFonts w:ascii="Times New Roman" w:hAnsi="Times New Roman"/>
          <w:sz w:val="16"/>
          <w:szCs w:val="16"/>
        </w:rPr>
      </w:pPr>
      <w:r w:rsidRPr="002D0BEA">
        <w:rPr>
          <w:rStyle w:val="FootnoteReference"/>
          <w:rFonts w:ascii="Times New Roman" w:hAnsi="Times New Roman"/>
          <w:sz w:val="16"/>
          <w:szCs w:val="16"/>
        </w:rPr>
        <w:footnoteRef/>
      </w:r>
      <w:r w:rsidRPr="002D0BEA">
        <w:rPr>
          <w:rFonts w:ascii="Times New Roman" w:hAnsi="Times New Roman"/>
          <w:sz w:val="16"/>
          <w:szCs w:val="16"/>
        </w:rPr>
        <w:t xml:space="preserve"> </w:t>
      </w:r>
      <w:r w:rsidRPr="002D0BEA">
        <w:rPr>
          <w:rFonts w:ascii="Times New Roman" w:hAnsi="Times New Roman"/>
          <w:sz w:val="16"/>
          <w:szCs w:val="16"/>
        </w:rPr>
        <w:t>Преглед на изпълнението на политиките на ЕС в областта на околната среда: общи предизвикателства и начини за обединяване на усилията с цел постигане на по-добри резултати, ЕК, 2017 г.</w:t>
      </w:r>
    </w:p>
  </w:footnote>
  <w:footnote w:id="138">
    <w:p w:rsidR="00D20631" w:rsidRPr="00BC457A" w:rsidRDefault="00D20631">
      <w:pPr>
        <w:pStyle w:val="FootnoteText"/>
        <w:rPr>
          <w:rFonts w:ascii="Times New Roman" w:hAnsi="Times New Roman"/>
          <w:sz w:val="16"/>
          <w:szCs w:val="16"/>
        </w:rPr>
      </w:pPr>
      <w:r w:rsidRPr="00BC457A">
        <w:rPr>
          <w:rStyle w:val="FootnoteReference"/>
          <w:rFonts w:ascii="Times New Roman" w:hAnsi="Times New Roman"/>
          <w:sz w:val="16"/>
          <w:szCs w:val="16"/>
        </w:rPr>
        <w:footnoteRef/>
      </w:r>
      <w:r w:rsidRPr="00BC457A">
        <w:rPr>
          <w:rFonts w:ascii="Times New Roman" w:hAnsi="Times New Roman"/>
          <w:sz w:val="16"/>
          <w:szCs w:val="16"/>
        </w:rPr>
        <w:t xml:space="preserve"> </w:t>
      </w:r>
      <w:r w:rsidRPr="00BC457A">
        <w:rPr>
          <w:rFonts w:ascii="Times New Roman" w:hAnsi="Times New Roman"/>
          <w:sz w:val="16"/>
          <w:szCs w:val="16"/>
        </w:rPr>
        <w:t xml:space="preserve">Позитивен е фактът, че през 2018 г. са предприети действия </w:t>
      </w:r>
      <w:r>
        <w:rPr>
          <w:rFonts w:ascii="Times New Roman" w:hAnsi="Times New Roman"/>
          <w:sz w:val="16"/>
          <w:szCs w:val="16"/>
        </w:rPr>
        <w:t>за разработване на цялостна национална стратегия за преход към кръгова икономика</w:t>
      </w:r>
      <w:r w:rsidRPr="00ED3E87">
        <w:rPr>
          <w:rFonts w:ascii="Times New Roman" w:hAnsi="Times New Roman"/>
          <w:sz w:val="16"/>
          <w:szCs w:val="16"/>
        </w:rPr>
        <w:t>.</w:t>
      </w:r>
    </w:p>
  </w:footnote>
  <w:footnote w:id="139">
    <w:p w:rsidR="00D20631" w:rsidRPr="007A07FE" w:rsidRDefault="00D20631" w:rsidP="00AE0F90">
      <w:pPr>
        <w:pStyle w:val="FootnoteText"/>
        <w:rPr>
          <w:rFonts w:ascii="Times New Roman" w:hAnsi="Times New Roman"/>
          <w:sz w:val="16"/>
          <w:szCs w:val="16"/>
        </w:rPr>
      </w:pPr>
      <w:r w:rsidRPr="007A07FE">
        <w:rPr>
          <w:rStyle w:val="FootnoteReference"/>
          <w:rFonts w:ascii="Times New Roman" w:hAnsi="Times New Roman"/>
          <w:sz w:val="16"/>
          <w:szCs w:val="16"/>
        </w:rPr>
        <w:footnoteRef/>
      </w:r>
      <w:r w:rsidRPr="007A07FE">
        <w:rPr>
          <w:rFonts w:ascii="Times New Roman" w:hAnsi="Times New Roman"/>
          <w:sz w:val="16"/>
          <w:szCs w:val="16"/>
        </w:rPr>
        <w:t xml:space="preserve"> </w:t>
      </w:r>
      <w:proofErr w:type="spellStart"/>
      <w:r w:rsidRPr="007A07FE">
        <w:rPr>
          <w:rFonts w:ascii="Times New Roman" w:hAnsi="Times New Roman"/>
          <w:sz w:val="16"/>
          <w:szCs w:val="16"/>
        </w:rPr>
        <w:t>Евробарометър</w:t>
      </w:r>
      <w:proofErr w:type="spellEnd"/>
      <w:r w:rsidRPr="007A07FE">
        <w:rPr>
          <w:rFonts w:ascii="Times New Roman" w:hAnsi="Times New Roman"/>
          <w:sz w:val="16"/>
          <w:szCs w:val="16"/>
        </w:rPr>
        <w:t xml:space="preserve"> № 426: МСП, ресурсна ефективност и екологични пазари“, ЕК, 2015 г.</w:t>
      </w:r>
    </w:p>
  </w:footnote>
  <w:footnote w:id="140">
    <w:p w:rsidR="00D20631" w:rsidRPr="007F16FB" w:rsidRDefault="00D20631" w:rsidP="00AE0F90">
      <w:pPr>
        <w:pStyle w:val="FootnoteText"/>
        <w:rPr>
          <w:rFonts w:ascii="Times New Roman" w:hAnsi="Times New Roman"/>
          <w:sz w:val="16"/>
          <w:szCs w:val="16"/>
        </w:rPr>
      </w:pPr>
      <w:r w:rsidRPr="007F16FB">
        <w:rPr>
          <w:rStyle w:val="FootnoteReference"/>
          <w:rFonts w:ascii="Times New Roman" w:hAnsi="Times New Roman"/>
          <w:sz w:val="16"/>
          <w:szCs w:val="16"/>
        </w:rPr>
        <w:footnoteRef/>
      </w:r>
      <w:r w:rsidRPr="007F16FB">
        <w:rPr>
          <w:rFonts w:ascii="Times New Roman" w:hAnsi="Times New Roman"/>
          <w:sz w:val="16"/>
          <w:szCs w:val="16"/>
        </w:rPr>
        <w:t xml:space="preserve"> </w:t>
      </w:r>
      <w:r w:rsidRPr="007F16FB">
        <w:rPr>
          <w:rFonts w:ascii="Times New Roman" w:hAnsi="Times New Roman"/>
          <w:sz w:val="16"/>
          <w:szCs w:val="16"/>
        </w:rPr>
        <w:t xml:space="preserve">Съпоставени с нивото на жизнения стандарт. </w:t>
      </w:r>
    </w:p>
  </w:footnote>
  <w:footnote w:id="141">
    <w:p w:rsidR="00D20631" w:rsidRPr="00F3775D" w:rsidRDefault="00D20631" w:rsidP="00AE0F90">
      <w:pPr>
        <w:pStyle w:val="FootnoteText"/>
        <w:rPr>
          <w:rFonts w:ascii="Times New Roman" w:hAnsi="Times New Roman"/>
          <w:sz w:val="16"/>
          <w:szCs w:val="16"/>
          <w:lang w:val="en-GB"/>
        </w:rPr>
      </w:pPr>
      <w:r w:rsidRPr="00F3775D">
        <w:rPr>
          <w:rStyle w:val="FootnoteReference"/>
          <w:rFonts w:ascii="Times New Roman" w:hAnsi="Times New Roman"/>
          <w:sz w:val="16"/>
          <w:szCs w:val="16"/>
          <w:lang w:val="en-GB"/>
        </w:rPr>
        <w:footnoteRef/>
      </w:r>
      <w:r w:rsidRPr="00F3775D">
        <w:rPr>
          <w:rFonts w:ascii="Times New Roman" w:hAnsi="Times New Roman"/>
          <w:sz w:val="16"/>
          <w:szCs w:val="16"/>
          <w:lang w:val="en-GB"/>
        </w:rPr>
        <w:t xml:space="preserve"> 2015-2016 Programme for peer reviews in the framework of EU cooperation on civil protection and disaster risk management, Peer Review Bulgaria</w:t>
      </w:r>
      <w:r>
        <w:rPr>
          <w:rFonts w:ascii="Times New Roman" w:hAnsi="Times New Roman"/>
          <w:sz w:val="16"/>
          <w:szCs w:val="16"/>
          <w:lang w:val="en-GB"/>
        </w:rPr>
        <w:t>, EC.</w:t>
      </w:r>
    </w:p>
  </w:footnote>
  <w:footnote w:id="142">
    <w:p w:rsidR="00D20631" w:rsidRPr="000A7676" w:rsidRDefault="00D20631" w:rsidP="00AE0F90">
      <w:pPr>
        <w:pStyle w:val="FootnoteText"/>
        <w:rPr>
          <w:rFonts w:ascii="Times New Roman" w:hAnsi="Times New Roman"/>
          <w:sz w:val="16"/>
          <w:szCs w:val="16"/>
        </w:rPr>
      </w:pPr>
      <w:r w:rsidRPr="000A7676">
        <w:rPr>
          <w:rStyle w:val="FootnoteReference"/>
          <w:rFonts w:ascii="Times New Roman" w:hAnsi="Times New Roman"/>
          <w:sz w:val="16"/>
          <w:szCs w:val="16"/>
        </w:rPr>
        <w:footnoteRef/>
      </w:r>
      <w:r w:rsidRPr="000A7676">
        <w:rPr>
          <w:rFonts w:ascii="Times New Roman" w:hAnsi="Times New Roman"/>
          <w:sz w:val="16"/>
          <w:szCs w:val="16"/>
        </w:rPr>
        <w:t xml:space="preserve"> </w:t>
      </w:r>
      <w:r w:rsidRPr="000A7676">
        <w:rPr>
          <w:rFonts w:ascii="Times New Roman" w:hAnsi="Times New Roman"/>
          <w:sz w:val="16"/>
          <w:szCs w:val="16"/>
        </w:rPr>
        <w:t>Градовете в Европа и Централна Азия: България, Световна банка, 2018 г.</w:t>
      </w:r>
    </w:p>
  </w:footnote>
  <w:footnote w:id="143">
    <w:p w:rsidR="00D20631" w:rsidRPr="001136E3" w:rsidRDefault="00D20631" w:rsidP="00AE0F90">
      <w:pPr>
        <w:pStyle w:val="FootnoteText"/>
        <w:rPr>
          <w:rFonts w:ascii="Times New Roman" w:hAnsi="Times New Roman"/>
          <w:sz w:val="16"/>
          <w:szCs w:val="16"/>
        </w:rPr>
      </w:pPr>
      <w:r w:rsidRPr="001136E3">
        <w:rPr>
          <w:rStyle w:val="FootnoteReference"/>
          <w:rFonts w:ascii="Times New Roman" w:hAnsi="Times New Roman"/>
          <w:sz w:val="16"/>
          <w:szCs w:val="16"/>
        </w:rPr>
        <w:footnoteRef/>
      </w:r>
      <w:r w:rsidRPr="001136E3">
        <w:rPr>
          <w:rFonts w:ascii="Times New Roman" w:hAnsi="Times New Roman"/>
          <w:sz w:val="16"/>
          <w:szCs w:val="16"/>
        </w:rPr>
        <w:t xml:space="preserve"> </w:t>
      </w:r>
      <w:r w:rsidRPr="001136E3">
        <w:rPr>
          <w:rFonts w:ascii="Times New Roman" w:hAnsi="Times New Roman"/>
          <w:sz w:val="16"/>
          <w:szCs w:val="16"/>
        </w:rPr>
        <w:t>Градовете в Европа и Централна Азия: България, Световна банка, 2018 г.</w:t>
      </w:r>
    </w:p>
  </w:footnote>
  <w:footnote w:id="144">
    <w:p w:rsidR="00D20631" w:rsidRPr="007359D7" w:rsidRDefault="00D20631" w:rsidP="00AE0F90">
      <w:pPr>
        <w:pStyle w:val="FootnoteText"/>
        <w:rPr>
          <w:rFonts w:ascii="Times New Roman" w:hAnsi="Times New Roman"/>
          <w:sz w:val="16"/>
          <w:szCs w:val="16"/>
        </w:rPr>
      </w:pPr>
      <w:r w:rsidRPr="007359D7">
        <w:rPr>
          <w:rStyle w:val="FootnoteReference"/>
          <w:rFonts w:ascii="Times New Roman" w:hAnsi="Times New Roman"/>
          <w:sz w:val="16"/>
          <w:szCs w:val="16"/>
        </w:rPr>
        <w:footnoteRef/>
      </w:r>
      <w:r w:rsidRPr="007359D7">
        <w:rPr>
          <w:rFonts w:ascii="Times New Roman" w:hAnsi="Times New Roman"/>
          <w:sz w:val="16"/>
          <w:szCs w:val="16"/>
        </w:rPr>
        <w:t xml:space="preserve"> </w:t>
      </w:r>
      <w:r w:rsidRPr="007359D7">
        <w:rPr>
          <w:rFonts w:ascii="Times New Roman" w:hAnsi="Times New Roman"/>
          <w:sz w:val="16"/>
          <w:szCs w:val="16"/>
        </w:rPr>
        <w:t>Население на 18-64 години.</w:t>
      </w:r>
    </w:p>
  </w:footnote>
  <w:footnote w:id="145">
    <w:p w:rsidR="00D20631" w:rsidRPr="00D20D63" w:rsidRDefault="00D20631" w:rsidP="00AE0F90">
      <w:pPr>
        <w:pStyle w:val="FootnoteText"/>
        <w:rPr>
          <w:rFonts w:ascii="Times New Roman" w:hAnsi="Times New Roman"/>
          <w:sz w:val="16"/>
          <w:szCs w:val="16"/>
        </w:rPr>
      </w:pPr>
      <w:r w:rsidRPr="00D20D63">
        <w:rPr>
          <w:rStyle w:val="FootnoteReference"/>
          <w:rFonts w:ascii="Times New Roman" w:hAnsi="Times New Roman"/>
          <w:sz w:val="16"/>
          <w:szCs w:val="16"/>
        </w:rPr>
        <w:footnoteRef/>
      </w:r>
      <w:r w:rsidRPr="00D20D63">
        <w:rPr>
          <w:rFonts w:ascii="Times New Roman" w:hAnsi="Times New Roman"/>
          <w:sz w:val="16"/>
          <w:szCs w:val="16"/>
        </w:rPr>
        <w:t xml:space="preserve"> </w:t>
      </w:r>
      <w:r w:rsidRPr="00D20D63">
        <w:rPr>
          <w:rFonts w:ascii="Times New Roman" w:hAnsi="Times New Roman"/>
          <w:i/>
          <w:sz w:val="16"/>
          <w:szCs w:val="16"/>
        </w:rPr>
        <w:t>DESI 2018</w:t>
      </w:r>
      <w:r w:rsidRPr="00D20D63">
        <w:rPr>
          <w:rFonts w:ascii="Times New Roman" w:hAnsi="Times New Roman"/>
          <w:sz w:val="16"/>
          <w:szCs w:val="16"/>
        </w:rPr>
        <w:t>, ЕК.</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0631" w:rsidRPr="00411A31" w:rsidRDefault="00D20631" w:rsidP="00197DD9">
    <w:pPr>
      <w:pStyle w:val="Header"/>
      <w:pBdr>
        <w:bottom w:val="single" w:sz="4" w:space="1" w:color="auto"/>
      </w:pBdr>
      <w:jc w:val="right"/>
      <w:rPr>
        <w:b/>
      </w:rPr>
    </w:pPr>
    <w:r w:rsidRPr="00411A31">
      <w:rPr>
        <w:b/>
      </w:rPr>
      <w:t>Определяне на националните приоритети за периода 2021-2027 г.</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0631" w:rsidRPr="00411A31" w:rsidRDefault="00D20631" w:rsidP="00197DD9">
    <w:pPr>
      <w:pStyle w:val="Header"/>
      <w:pBdr>
        <w:bottom w:val="single" w:sz="4" w:space="1" w:color="auto"/>
      </w:pBdr>
      <w:rPr>
        <w:b/>
      </w:rPr>
    </w:pPr>
    <w:r w:rsidRPr="00411A31">
      <w:rPr>
        <w:b/>
      </w:rPr>
      <w:t>Социално-икономическо</w:t>
    </w:r>
    <w:r>
      <w:rPr>
        <w:b/>
      </w:rPr>
      <w:t xml:space="preserve"> </w:t>
    </w:r>
    <w:r w:rsidRPr="00411A31">
      <w:rPr>
        <w:b/>
      </w:rPr>
      <w:t xml:space="preserve">развитие на България </w:t>
    </w:r>
    <w:r>
      <w:rPr>
        <w:b/>
      </w:rPr>
      <w:t>(</w:t>
    </w:r>
    <w:r w:rsidRPr="00411A31">
      <w:rPr>
        <w:b/>
      </w:rPr>
      <w:t>2007-2017 г.</w:t>
    </w:r>
    <w:r>
      <w:rPr>
        <w:b/>
      </w:rPr>
      <w:t>)</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357B" w:rsidRDefault="006135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B0597"/>
    <w:multiLevelType w:val="hybridMultilevel"/>
    <w:tmpl w:val="5D3C21C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07BF56D4"/>
    <w:multiLevelType w:val="hybridMultilevel"/>
    <w:tmpl w:val="8A1E1864"/>
    <w:lvl w:ilvl="0" w:tplc="CC4E4DD8">
      <w:start w:val="1"/>
      <w:numFmt w:val="bullet"/>
      <w:lvlText w:val=""/>
      <w:lvlJc w:val="left"/>
      <w:pPr>
        <w:ind w:left="3054" w:hanging="360"/>
      </w:pPr>
      <w:rPr>
        <w:rFonts w:ascii="Symbol" w:hAnsi="Symbol" w:hint="default"/>
      </w:rPr>
    </w:lvl>
    <w:lvl w:ilvl="1" w:tplc="AE3EEC04" w:tentative="1">
      <w:start w:val="1"/>
      <w:numFmt w:val="bullet"/>
      <w:lvlText w:val="o"/>
      <w:lvlJc w:val="left"/>
      <w:pPr>
        <w:ind w:left="3774" w:hanging="360"/>
      </w:pPr>
      <w:rPr>
        <w:rFonts w:ascii="Courier New" w:hAnsi="Courier New" w:cs="Courier New" w:hint="default"/>
      </w:rPr>
    </w:lvl>
    <w:lvl w:ilvl="2" w:tplc="026AEE60" w:tentative="1">
      <w:start w:val="1"/>
      <w:numFmt w:val="bullet"/>
      <w:lvlText w:val=""/>
      <w:lvlJc w:val="left"/>
      <w:pPr>
        <w:ind w:left="4494" w:hanging="360"/>
      </w:pPr>
      <w:rPr>
        <w:rFonts w:ascii="Wingdings" w:hAnsi="Wingdings" w:hint="default"/>
      </w:rPr>
    </w:lvl>
    <w:lvl w:ilvl="3" w:tplc="9110958E" w:tentative="1">
      <w:start w:val="1"/>
      <w:numFmt w:val="bullet"/>
      <w:lvlText w:val=""/>
      <w:lvlJc w:val="left"/>
      <w:pPr>
        <w:ind w:left="5214" w:hanging="360"/>
      </w:pPr>
      <w:rPr>
        <w:rFonts w:ascii="Symbol" w:hAnsi="Symbol" w:hint="default"/>
      </w:rPr>
    </w:lvl>
    <w:lvl w:ilvl="4" w:tplc="129686A8" w:tentative="1">
      <w:start w:val="1"/>
      <w:numFmt w:val="bullet"/>
      <w:lvlText w:val="o"/>
      <w:lvlJc w:val="left"/>
      <w:pPr>
        <w:ind w:left="5934" w:hanging="360"/>
      </w:pPr>
      <w:rPr>
        <w:rFonts w:ascii="Courier New" w:hAnsi="Courier New" w:cs="Courier New" w:hint="default"/>
      </w:rPr>
    </w:lvl>
    <w:lvl w:ilvl="5" w:tplc="7B7A619A" w:tentative="1">
      <w:start w:val="1"/>
      <w:numFmt w:val="bullet"/>
      <w:lvlText w:val=""/>
      <w:lvlJc w:val="left"/>
      <w:pPr>
        <w:ind w:left="6654" w:hanging="360"/>
      </w:pPr>
      <w:rPr>
        <w:rFonts w:ascii="Wingdings" w:hAnsi="Wingdings" w:hint="default"/>
      </w:rPr>
    </w:lvl>
    <w:lvl w:ilvl="6" w:tplc="B27252A2" w:tentative="1">
      <w:start w:val="1"/>
      <w:numFmt w:val="bullet"/>
      <w:lvlText w:val=""/>
      <w:lvlJc w:val="left"/>
      <w:pPr>
        <w:ind w:left="7374" w:hanging="360"/>
      </w:pPr>
      <w:rPr>
        <w:rFonts w:ascii="Symbol" w:hAnsi="Symbol" w:hint="default"/>
      </w:rPr>
    </w:lvl>
    <w:lvl w:ilvl="7" w:tplc="7FA6A894" w:tentative="1">
      <w:start w:val="1"/>
      <w:numFmt w:val="bullet"/>
      <w:lvlText w:val="o"/>
      <w:lvlJc w:val="left"/>
      <w:pPr>
        <w:ind w:left="8094" w:hanging="360"/>
      </w:pPr>
      <w:rPr>
        <w:rFonts w:ascii="Courier New" w:hAnsi="Courier New" w:cs="Courier New" w:hint="default"/>
      </w:rPr>
    </w:lvl>
    <w:lvl w:ilvl="8" w:tplc="DA405CAA" w:tentative="1">
      <w:start w:val="1"/>
      <w:numFmt w:val="bullet"/>
      <w:lvlText w:val=""/>
      <w:lvlJc w:val="left"/>
      <w:pPr>
        <w:ind w:left="8814" w:hanging="360"/>
      </w:pPr>
      <w:rPr>
        <w:rFonts w:ascii="Wingdings" w:hAnsi="Wingdings" w:hint="default"/>
      </w:rPr>
    </w:lvl>
  </w:abstractNum>
  <w:abstractNum w:abstractNumId="2" w15:restartNumberingAfterBreak="0">
    <w:nsid w:val="09AC3130"/>
    <w:multiLevelType w:val="hybridMultilevel"/>
    <w:tmpl w:val="801E9BAA"/>
    <w:lvl w:ilvl="0" w:tplc="6A3AA37E">
      <w:start w:val="1"/>
      <w:numFmt w:val="decimal"/>
      <w:lvlText w:val="%1."/>
      <w:lvlJc w:val="left"/>
      <w:pPr>
        <w:ind w:left="420" w:hanging="360"/>
      </w:pPr>
      <w:rPr>
        <w:rFonts w:hint="default"/>
      </w:rPr>
    </w:lvl>
    <w:lvl w:ilvl="1" w:tplc="D0108FC4">
      <w:start w:val="1"/>
      <w:numFmt w:val="bullet"/>
      <w:lvlText w:val="‐"/>
      <w:lvlJc w:val="left"/>
      <w:pPr>
        <w:ind w:left="1140" w:hanging="360"/>
      </w:pPr>
      <w:rPr>
        <w:rFonts w:ascii="Calibri" w:hAnsi="Calibri" w:hint="default"/>
      </w:rPr>
    </w:lvl>
    <w:lvl w:ilvl="2" w:tplc="04090001">
      <w:start w:val="1"/>
      <w:numFmt w:val="bullet"/>
      <w:lvlText w:val=""/>
      <w:lvlJc w:val="left"/>
      <w:pPr>
        <w:ind w:left="1860" w:hanging="180"/>
      </w:pPr>
      <w:rPr>
        <w:rFonts w:ascii="Symbol" w:hAnsi="Symbol" w:hint="default"/>
      </w:r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 w15:restartNumberingAfterBreak="0">
    <w:nsid w:val="0CCB66B8"/>
    <w:multiLevelType w:val="multilevel"/>
    <w:tmpl w:val="1C82F44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144009A6"/>
    <w:multiLevelType w:val="hybridMultilevel"/>
    <w:tmpl w:val="52B691F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 w15:restartNumberingAfterBreak="0">
    <w:nsid w:val="1AA562E8"/>
    <w:multiLevelType w:val="hybridMultilevel"/>
    <w:tmpl w:val="5896CC34"/>
    <w:lvl w:ilvl="0" w:tplc="3094086C">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15:restartNumberingAfterBreak="0">
    <w:nsid w:val="1ACB0504"/>
    <w:multiLevelType w:val="hybridMultilevel"/>
    <w:tmpl w:val="1BE22BB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15:restartNumberingAfterBreak="0">
    <w:nsid w:val="1D9F0468"/>
    <w:multiLevelType w:val="multilevel"/>
    <w:tmpl w:val="1C82F44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1FCA3362"/>
    <w:multiLevelType w:val="multilevel"/>
    <w:tmpl w:val="1C82F44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26EB436B"/>
    <w:multiLevelType w:val="multilevel"/>
    <w:tmpl w:val="1C82F44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27505D83"/>
    <w:multiLevelType w:val="hybridMultilevel"/>
    <w:tmpl w:val="8E6402E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1" w15:restartNumberingAfterBreak="0">
    <w:nsid w:val="2B290958"/>
    <w:multiLevelType w:val="multilevel"/>
    <w:tmpl w:val="1C82F44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2B60354C"/>
    <w:multiLevelType w:val="hybridMultilevel"/>
    <w:tmpl w:val="E1B8E8D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3" w15:restartNumberingAfterBreak="0">
    <w:nsid w:val="2CF6083F"/>
    <w:multiLevelType w:val="hybridMultilevel"/>
    <w:tmpl w:val="F45AE5F8"/>
    <w:lvl w:ilvl="0" w:tplc="FC60AAE8">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4" w15:restartNumberingAfterBreak="0">
    <w:nsid w:val="2F050225"/>
    <w:multiLevelType w:val="hybridMultilevel"/>
    <w:tmpl w:val="E5C677F0"/>
    <w:lvl w:ilvl="0" w:tplc="08D2CE6E">
      <w:start w:val="5"/>
      <w:numFmt w:val="bullet"/>
      <w:lvlText w:val="-"/>
      <w:lvlJc w:val="left"/>
      <w:pPr>
        <w:ind w:left="720" w:hanging="360"/>
      </w:pPr>
      <w:rPr>
        <w:rFonts w:ascii="Times New Roman" w:eastAsia="Times New Roman" w:hAnsi="Times New Roman" w:cs="Times New Roman"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5" w15:restartNumberingAfterBreak="0">
    <w:nsid w:val="35746BD1"/>
    <w:multiLevelType w:val="hybridMultilevel"/>
    <w:tmpl w:val="F12EFC9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15:restartNumberingAfterBreak="0">
    <w:nsid w:val="3601001F"/>
    <w:multiLevelType w:val="hybridMultilevel"/>
    <w:tmpl w:val="AFFA993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15:restartNumberingAfterBreak="0">
    <w:nsid w:val="3F101AE6"/>
    <w:multiLevelType w:val="hybridMultilevel"/>
    <w:tmpl w:val="3E8C0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D65D03"/>
    <w:multiLevelType w:val="hybridMultilevel"/>
    <w:tmpl w:val="557A7D84"/>
    <w:lvl w:ilvl="0" w:tplc="1F94DE6C">
      <w:start w:val="67"/>
      <w:numFmt w:val="bullet"/>
      <w:lvlText w:val="-"/>
      <w:lvlJc w:val="left"/>
      <w:pPr>
        <w:ind w:left="495" w:hanging="360"/>
      </w:pPr>
      <w:rPr>
        <w:rFonts w:ascii="Times New Roman" w:eastAsia="Calibri" w:hAnsi="Times New Roman" w:cs="Times New Roman" w:hint="default"/>
      </w:rPr>
    </w:lvl>
    <w:lvl w:ilvl="1" w:tplc="08090003" w:tentative="1">
      <w:start w:val="1"/>
      <w:numFmt w:val="bullet"/>
      <w:lvlText w:val="o"/>
      <w:lvlJc w:val="left"/>
      <w:pPr>
        <w:ind w:left="1215" w:hanging="360"/>
      </w:pPr>
      <w:rPr>
        <w:rFonts w:ascii="Courier New" w:hAnsi="Courier New" w:cs="Courier New" w:hint="default"/>
      </w:rPr>
    </w:lvl>
    <w:lvl w:ilvl="2" w:tplc="08090005" w:tentative="1">
      <w:start w:val="1"/>
      <w:numFmt w:val="bullet"/>
      <w:lvlText w:val=""/>
      <w:lvlJc w:val="left"/>
      <w:pPr>
        <w:ind w:left="1935" w:hanging="360"/>
      </w:pPr>
      <w:rPr>
        <w:rFonts w:ascii="Wingdings" w:hAnsi="Wingdings" w:hint="default"/>
      </w:rPr>
    </w:lvl>
    <w:lvl w:ilvl="3" w:tplc="08090001" w:tentative="1">
      <w:start w:val="1"/>
      <w:numFmt w:val="bullet"/>
      <w:lvlText w:val=""/>
      <w:lvlJc w:val="left"/>
      <w:pPr>
        <w:ind w:left="2655" w:hanging="360"/>
      </w:pPr>
      <w:rPr>
        <w:rFonts w:ascii="Symbol" w:hAnsi="Symbol" w:hint="default"/>
      </w:rPr>
    </w:lvl>
    <w:lvl w:ilvl="4" w:tplc="08090003" w:tentative="1">
      <w:start w:val="1"/>
      <w:numFmt w:val="bullet"/>
      <w:lvlText w:val="o"/>
      <w:lvlJc w:val="left"/>
      <w:pPr>
        <w:ind w:left="3375" w:hanging="360"/>
      </w:pPr>
      <w:rPr>
        <w:rFonts w:ascii="Courier New" w:hAnsi="Courier New" w:cs="Courier New" w:hint="default"/>
      </w:rPr>
    </w:lvl>
    <w:lvl w:ilvl="5" w:tplc="08090005" w:tentative="1">
      <w:start w:val="1"/>
      <w:numFmt w:val="bullet"/>
      <w:lvlText w:val=""/>
      <w:lvlJc w:val="left"/>
      <w:pPr>
        <w:ind w:left="4095" w:hanging="360"/>
      </w:pPr>
      <w:rPr>
        <w:rFonts w:ascii="Wingdings" w:hAnsi="Wingdings" w:hint="default"/>
      </w:rPr>
    </w:lvl>
    <w:lvl w:ilvl="6" w:tplc="08090001" w:tentative="1">
      <w:start w:val="1"/>
      <w:numFmt w:val="bullet"/>
      <w:lvlText w:val=""/>
      <w:lvlJc w:val="left"/>
      <w:pPr>
        <w:ind w:left="4815" w:hanging="360"/>
      </w:pPr>
      <w:rPr>
        <w:rFonts w:ascii="Symbol" w:hAnsi="Symbol" w:hint="default"/>
      </w:rPr>
    </w:lvl>
    <w:lvl w:ilvl="7" w:tplc="08090003" w:tentative="1">
      <w:start w:val="1"/>
      <w:numFmt w:val="bullet"/>
      <w:lvlText w:val="o"/>
      <w:lvlJc w:val="left"/>
      <w:pPr>
        <w:ind w:left="5535" w:hanging="360"/>
      </w:pPr>
      <w:rPr>
        <w:rFonts w:ascii="Courier New" w:hAnsi="Courier New" w:cs="Courier New" w:hint="default"/>
      </w:rPr>
    </w:lvl>
    <w:lvl w:ilvl="8" w:tplc="08090005" w:tentative="1">
      <w:start w:val="1"/>
      <w:numFmt w:val="bullet"/>
      <w:lvlText w:val=""/>
      <w:lvlJc w:val="left"/>
      <w:pPr>
        <w:ind w:left="6255" w:hanging="360"/>
      </w:pPr>
      <w:rPr>
        <w:rFonts w:ascii="Wingdings" w:hAnsi="Wingdings" w:hint="default"/>
      </w:rPr>
    </w:lvl>
  </w:abstractNum>
  <w:abstractNum w:abstractNumId="19" w15:restartNumberingAfterBreak="0">
    <w:nsid w:val="44DF7483"/>
    <w:multiLevelType w:val="hybridMultilevel"/>
    <w:tmpl w:val="38903E28"/>
    <w:lvl w:ilvl="0" w:tplc="1B004ABA">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0" w15:restartNumberingAfterBreak="0">
    <w:nsid w:val="49047598"/>
    <w:multiLevelType w:val="hybridMultilevel"/>
    <w:tmpl w:val="732AA238"/>
    <w:lvl w:ilvl="0" w:tplc="EB7C7658">
      <w:start w:val="16"/>
      <w:numFmt w:val="bullet"/>
      <w:lvlText w:val="-"/>
      <w:lvlJc w:val="left"/>
      <w:pPr>
        <w:ind w:left="495" w:hanging="360"/>
      </w:pPr>
      <w:rPr>
        <w:rFonts w:ascii="Times New Roman" w:eastAsia="Calibri" w:hAnsi="Times New Roman" w:cs="Times New Roman" w:hint="default"/>
      </w:rPr>
    </w:lvl>
    <w:lvl w:ilvl="1" w:tplc="08090003" w:tentative="1">
      <w:start w:val="1"/>
      <w:numFmt w:val="bullet"/>
      <w:lvlText w:val="o"/>
      <w:lvlJc w:val="left"/>
      <w:pPr>
        <w:ind w:left="1215" w:hanging="360"/>
      </w:pPr>
      <w:rPr>
        <w:rFonts w:ascii="Courier New" w:hAnsi="Courier New" w:cs="Courier New" w:hint="default"/>
      </w:rPr>
    </w:lvl>
    <w:lvl w:ilvl="2" w:tplc="08090005" w:tentative="1">
      <w:start w:val="1"/>
      <w:numFmt w:val="bullet"/>
      <w:lvlText w:val=""/>
      <w:lvlJc w:val="left"/>
      <w:pPr>
        <w:ind w:left="1935" w:hanging="360"/>
      </w:pPr>
      <w:rPr>
        <w:rFonts w:ascii="Wingdings" w:hAnsi="Wingdings" w:hint="default"/>
      </w:rPr>
    </w:lvl>
    <w:lvl w:ilvl="3" w:tplc="08090001" w:tentative="1">
      <w:start w:val="1"/>
      <w:numFmt w:val="bullet"/>
      <w:lvlText w:val=""/>
      <w:lvlJc w:val="left"/>
      <w:pPr>
        <w:ind w:left="2655" w:hanging="360"/>
      </w:pPr>
      <w:rPr>
        <w:rFonts w:ascii="Symbol" w:hAnsi="Symbol" w:hint="default"/>
      </w:rPr>
    </w:lvl>
    <w:lvl w:ilvl="4" w:tplc="08090003" w:tentative="1">
      <w:start w:val="1"/>
      <w:numFmt w:val="bullet"/>
      <w:lvlText w:val="o"/>
      <w:lvlJc w:val="left"/>
      <w:pPr>
        <w:ind w:left="3375" w:hanging="360"/>
      </w:pPr>
      <w:rPr>
        <w:rFonts w:ascii="Courier New" w:hAnsi="Courier New" w:cs="Courier New" w:hint="default"/>
      </w:rPr>
    </w:lvl>
    <w:lvl w:ilvl="5" w:tplc="08090005" w:tentative="1">
      <w:start w:val="1"/>
      <w:numFmt w:val="bullet"/>
      <w:lvlText w:val=""/>
      <w:lvlJc w:val="left"/>
      <w:pPr>
        <w:ind w:left="4095" w:hanging="360"/>
      </w:pPr>
      <w:rPr>
        <w:rFonts w:ascii="Wingdings" w:hAnsi="Wingdings" w:hint="default"/>
      </w:rPr>
    </w:lvl>
    <w:lvl w:ilvl="6" w:tplc="08090001" w:tentative="1">
      <w:start w:val="1"/>
      <w:numFmt w:val="bullet"/>
      <w:lvlText w:val=""/>
      <w:lvlJc w:val="left"/>
      <w:pPr>
        <w:ind w:left="4815" w:hanging="360"/>
      </w:pPr>
      <w:rPr>
        <w:rFonts w:ascii="Symbol" w:hAnsi="Symbol" w:hint="default"/>
      </w:rPr>
    </w:lvl>
    <w:lvl w:ilvl="7" w:tplc="08090003" w:tentative="1">
      <w:start w:val="1"/>
      <w:numFmt w:val="bullet"/>
      <w:lvlText w:val="o"/>
      <w:lvlJc w:val="left"/>
      <w:pPr>
        <w:ind w:left="5535" w:hanging="360"/>
      </w:pPr>
      <w:rPr>
        <w:rFonts w:ascii="Courier New" w:hAnsi="Courier New" w:cs="Courier New" w:hint="default"/>
      </w:rPr>
    </w:lvl>
    <w:lvl w:ilvl="8" w:tplc="08090005" w:tentative="1">
      <w:start w:val="1"/>
      <w:numFmt w:val="bullet"/>
      <w:lvlText w:val=""/>
      <w:lvlJc w:val="left"/>
      <w:pPr>
        <w:ind w:left="6255" w:hanging="360"/>
      </w:pPr>
      <w:rPr>
        <w:rFonts w:ascii="Wingdings" w:hAnsi="Wingdings" w:hint="default"/>
      </w:rPr>
    </w:lvl>
  </w:abstractNum>
  <w:abstractNum w:abstractNumId="21" w15:restartNumberingAfterBreak="0">
    <w:nsid w:val="4CBE6859"/>
    <w:multiLevelType w:val="hybridMultilevel"/>
    <w:tmpl w:val="6F96285E"/>
    <w:lvl w:ilvl="0" w:tplc="1C80C89A">
      <w:start w:val="67"/>
      <w:numFmt w:val="bullet"/>
      <w:lvlText w:val="-"/>
      <w:lvlJc w:val="left"/>
      <w:pPr>
        <w:ind w:left="450" w:hanging="360"/>
      </w:pPr>
      <w:rPr>
        <w:rFonts w:ascii="Times New Roman" w:eastAsia="Calibri" w:hAnsi="Times New Roman" w:cs="Times New Roman" w:hint="default"/>
      </w:rPr>
    </w:lvl>
    <w:lvl w:ilvl="1" w:tplc="08090003" w:tentative="1">
      <w:start w:val="1"/>
      <w:numFmt w:val="bullet"/>
      <w:lvlText w:val="o"/>
      <w:lvlJc w:val="left"/>
      <w:pPr>
        <w:ind w:left="1170" w:hanging="360"/>
      </w:pPr>
      <w:rPr>
        <w:rFonts w:ascii="Courier New" w:hAnsi="Courier New" w:cs="Courier New" w:hint="default"/>
      </w:rPr>
    </w:lvl>
    <w:lvl w:ilvl="2" w:tplc="08090005" w:tentative="1">
      <w:start w:val="1"/>
      <w:numFmt w:val="bullet"/>
      <w:lvlText w:val=""/>
      <w:lvlJc w:val="left"/>
      <w:pPr>
        <w:ind w:left="1890" w:hanging="360"/>
      </w:pPr>
      <w:rPr>
        <w:rFonts w:ascii="Wingdings" w:hAnsi="Wingdings" w:hint="default"/>
      </w:rPr>
    </w:lvl>
    <w:lvl w:ilvl="3" w:tplc="08090001" w:tentative="1">
      <w:start w:val="1"/>
      <w:numFmt w:val="bullet"/>
      <w:lvlText w:val=""/>
      <w:lvlJc w:val="left"/>
      <w:pPr>
        <w:ind w:left="2610" w:hanging="360"/>
      </w:pPr>
      <w:rPr>
        <w:rFonts w:ascii="Symbol" w:hAnsi="Symbol" w:hint="default"/>
      </w:rPr>
    </w:lvl>
    <w:lvl w:ilvl="4" w:tplc="08090003" w:tentative="1">
      <w:start w:val="1"/>
      <w:numFmt w:val="bullet"/>
      <w:lvlText w:val="o"/>
      <w:lvlJc w:val="left"/>
      <w:pPr>
        <w:ind w:left="3330" w:hanging="360"/>
      </w:pPr>
      <w:rPr>
        <w:rFonts w:ascii="Courier New" w:hAnsi="Courier New" w:cs="Courier New" w:hint="default"/>
      </w:rPr>
    </w:lvl>
    <w:lvl w:ilvl="5" w:tplc="08090005" w:tentative="1">
      <w:start w:val="1"/>
      <w:numFmt w:val="bullet"/>
      <w:lvlText w:val=""/>
      <w:lvlJc w:val="left"/>
      <w:pPr>
        <w:ind w:left="4050" w:hanging="360"/>
      </w:pPr>
      <w:rPr>
        <w:rFonts w:ascii="Wingdings" w:hAnsi="Wingdings" w:hint="default"/>
      </w:rPr>
    </w:lvl>
    <w:lvl w:ilvl="6" w:tplc="08090001" w:tentative="1">
      <w:start w:val="1"/>
      <w:numFmt w:val="bullet"/>
      <w:lvlText w:val=""/>
      <w:lvlJc w:val="left"/>
      <w:pPr>
        <w:ind w:left="4770" w:hanging="360"/>
      </w:pPr>
      <w:rPr>
        <w:rFonts w:ascii="Symbol" w:hAnsi="Symbol" w:hint="default"/>
      </w:rPr>
    </w:lvl>
    <w:lvl w:ilvl="7" w:tplc="08090003" w:tentative="1">
      <w:start w:val="1"/>
      <w:numFmt w:val="bullet"/>
      <w:lvlText w:val="o"/>
      <w:lvlJc w:val="left"/>
      <w:pPr>
        <w:ind w:left="5490" w:hanging="360"/>
      </w:pPr>
      <w:rPr>
        <w:rFonts w:ascii="Courier New" w:hAnsi="Courier New" w:cs="Courier New" w:hint="default"/>
      </w:rPr>
    </w:lvl>
    <w:lvl w:ilvl="8" w:tplc="08090005" w:tentative="1">
      <w:start w:val="1"/>
      <w:numFmt w:val="bullet"/>
      <w:lvlText w:val=""/>
      <w:lvlJc w:val="left"/>
      <w:pPr>
        <w:ind w:left="6210" w:hanging="360"/>
      </w:pPr>
      <w:rPr>
        <w:rFonts w:ascii="Wingdings" w:hAnsi="Wingdings" w:hint="default"/>
      </w:rPr>
    </w:lvl>
  </w:abstractNum>
  <w:abstractNum w:abstractNumId="22" w15:restartNumberingAfterBreak="0">
    <w:nsid w:val="4CE251B9"/>
    <w:multiLevelType w:val="hybridMultilevel"/>
    <w:tmpl w:val="2F40F20C"/>
    <w:lvl w:ilvl="0" w:tplc="7BFE5F36">
      <w:start w:val="1"/>
      <w:numFmt w:val="bullet"/>
      <w:lvlText w:val=""/>
      <w:lvlJc w:val="left"/>
      <w:pPr>
        <w:tabs>
          <w:tab w:val="num" w:pos="720"/>
        </w:tabs>
        <w:ind w:left="720" w:hanging="360"/>
      </w:pPr>
      <w:rPr>
        <w:rFonts w:ascii="Symbol" w:hAnsi="Symbol" w:hint="default"/>
        <w:sz w:val="18"/>
        <w:szCs w:val="18"/>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FD90AFC"/>
    <w:multiLevelType w:val="multilevel"/>
    <w:tmpl w:val="1C82F44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4" w15:restartNumberingAfterBreak="0">
    <w:nsid w:val="50AA4795"/>
    <w:multiLevelType w:val="hybridMultilevel"/>
    <w:tmpl w:val="A2203D62"/>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1503421"/>
    <w:multiLevelType w:val="hybridMultilevel"/>
    <w:tmpl w:val="2926EE3A"/>
    <w:lvl w:ilvl="0" w:tplc="04020001">
      <w:start w:val="1"/>
      <w:numFmt w:val="bullet"/>
      <w:lvlText w:val=""/>
      <w:lvlJc w:val="left"/>
      <w:pPr>
        <w:tabs>
          <w:tab w:val="num" w:pos="720"/>
        </w:tabs>
        <w:ind w:left="720" w:hanging="360"/>
      </w:pPr>
      <w:rPr>
        <w:rFonts w:ascii="Symbol" w:hAnsi="Symbol" w:hint="default"/>
      </w:rPr>
    </w:lvl>
    <w:lvl w:ilvl="1" w:tplc="04020003">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55C7A77"/>
    <w:multiLevelType w:val="hybridMultilevel"/>
    <w:tmpl w:val="F70C185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7" w15:restartNumberingAfterBreak="0">
    <w:nsid w:val="5FB029C1"/>
    <w:multiLevelType w:val="multilevel"/>
    <w:tmpl w:val="1C82F44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60207D5D"/>
    <w:multiLevelType w:val="hybridMultilevel"/>
    <w:tmpl w:val="4BF2E198"/>
    <w:lvl w:ilvl="0" w:tplc="FF2E2DAA">
      <w:numFmt w:val="bullet"/>
      <w:lvlText w:val="–"/>
      <w:lvlJc w:val="left"/>
      <w:pPr>
        <w:ind w:left="644" w:hanging="360"/>
      </w:pPr>
      <w:rPr>
        <w:rFonts w:ascii="Times New Roman" w:eastAsia="Times New Roman" w:hAnsi="Times New Roman" w:cs="Times New Roman"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9" w15:restartNumberingAfterBreak="0">
    <w:nsid w:val="60DE6EB3"/>
    <w:multiLevelType w:val="multilevel"/>
    <w:tmpl w:val="1C82F44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0" w15:restartNumberingAfterBreak="0">
    <w:nsid w:val="67172C25"/>
    <w:multiLevelType w:val="hybridMultilevel"/>
    <w:tmpl w:val="724C5404"/>
    <w:lvl w:ilvl="0" w:tplc="288E4F58">
      <w:start w:val="67"/>
      <w:numFmt w:val="bullet"/>
      <w:lvlText w:val="-"/>
      <w:lvlJc w:val="left"/>
      <w:pPr>
        <w:ind w:left="495" w:hanging="360"/>
      </w:pPr>
      <w:rPr>
        <w:rFonts w:ascii="Times New Roman" w:eastAsia="Calibri" w:hAnsi="Times New Roman" w:cs="Times New Roman" w:hint="default"/>
      </w:rPr>
    </w:lvl>
    <w:lvl w:ilvl="1" w:tplc="08090003" w:tentative="1">
      <w:start w:val="1"/>
      <w:numFmt w:val="bullet"/>
      <w:lvlText w:val="o"/>
      <w:lvlJc w:val="left"/>
      <w:pPr>
        <w:ind w:left="1215" w:hanging="360"/>
      </w:pPr>
      <w:rPr>
        <w:rFonts w:ascii="Courier New" w:hAnsi="Courier New" w:cs="Courier New" w:hint="default"/>
      </w:rPr>
    </w:lvl>
    <w:lvl w:ilvl="2" w:tplc="08090005" w:tentative="1">
      <w:start w:val="1"/>
      <w:numFmt w:val="bullet"/>
      <w:lvlText w:val=""/>
      <w:lvlJc w:val="left"/>
      <w:pPr>
        <w:ind w:left="1935" w:hanging="360"/>
      </w:pPr>
      <w:rPr>
        <w:rFonts w:ascii="Wingdings" w:hAnsi="Wingdings" w:hint="default"/>
      </w:rPr>
    </w:lvl>
    <w:lvl w:ilvl="3" w:tplc="08090001" w:tentative="1">
      <w:start w:val="1"/>
      <w:numFmt w:val="bullet"/>
      <w:lvlText w:val=""/>
      <w:lvlJc w:val="left"/>
      <w:pPr>
        <w:ind w:left="2655" w:hanging="360"/>
      </w:pPr>
      <w:rPr>
        <w:rFonts w:ascii="Symbol" w:hAnsi="Symbol" w:hint="default"/>
      </w:rPr>
    </w:lvl>
    <w:lvl w:ilvl="4" w:tplc="08090003" w:tentative="1">
      <w:start w:val="1"/>
      <w:numFmt w:val="bullet"/>
      <w:lvlText w:val="o"/>
      <w:lvlJc w:val="left"/>
      <w:pPr>
        <w:ind w:left="3375" w:hanging="360"/>
      </w:pPr>
      <w:rPr>
        <w:rFonts w:ascii="Courier New" w:hAnsi="Courier New" w:cs="Courier New" w:hint="default"/>
      </w:rPr>
    </w:lvl>
    <w:lvl w:ilvl="5" w:tplc="08090005" w:tentative="1">
      <w:start w:val="1"/>
      <w:numFmt w:val="bullet"/>
      <w:lvlText w:val=""/>
      <w:lvlJc w:val="left"/>
      <w:pPr>
        <w:ind w:left="4095" w:hanging="360"/>
      </w:pPr>
      <w:rPr>
        <w:rFonts w:ascii="Wingdings" w:hAnsi="Wingdings" w:hint="default"/>
      </w:rPr>
    </w:lvl>
    <w:lvl w:ilvl="6" w:tplc="08090001" w:tentative="1">
      <w:start w:val="1"/>
      <w:numFmt w:val="bullet"/>
      <w:lvlText w:val=""/>
      <w:lvlJc w:val="left"/>
      <w:pPr>
        <w:ind w:left="4815" w:hanging="360"/>
      </w:pPr>
      <w:rPr>
        <w:rFonts w:ascii="Symbol" w:hAnsi="Symbol" w:hint="default"/>
      </w:rPr>
    </w:lvl>
    <w:lvl w:ilvl="7" w:tplc="08090003" w:tentative="1">
      <w:start w:val="1"/>
      <w:numFmt w:val="bullet"/>
      <w:lvlText w:val="o"/>
      <w:lvlJc w:val="left"/>
      <w:pPr>
        <w:ind w:left="5535" w:hanging="360"/>
      </w:pPr>
      <w:rPr>
        <w:rFonts w:ascii="Courier New" w:hAnsi="Courier New" w:cs="Courier New" w:hint="default"/>
      </w:rPr>
    </w:lvl>
    <w:lvl w:ilvl="8" w:tplc="08090005" w:tentative="1">
      <w:start w:val="1"/>
      <w:numFmt w:val="bullet"/>
      <w:lvlText w:val=""/>
      <w:lvlJc w:val="left"/>
      <w:pPr>
        <w:ind w:left="6255" w:hanging="360"/>
      </w:pPr>
      <w:rPr>
        <w:rFonts w:ascii="Wingdings" w:hAnsi="Wingdings" w:hint="default"/>
      </w:rPr>
    </w:lvl>
  </w:abstractNum>
  <w:abstractNum w:abstractNumId="31" w15:restartNumberingAfterBreak="0">
    <w:nsid w:val="6E5E6CCD"/>
    <w:multiLevelType w:val="hybridMultilevel"/>
    <w:tmpl w:val="6DA25426"/>
    <w:lvl w:ilvl="0" w:tplc="B2CE3B7A">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2" w15:restartNumberingAfterBreak="0">
    <w:nsid w:val="6FD92A2A"/>
    <w:multiLevelType w:val="hybridMultilevel"/>
    <w:tmpl w:val="0928B742"/>
    <w:lvl w:ilvl="0" w:tplc="F072E9E2">
      <w:start w:val="2017"/>
      <w:numFmt w:val="bullet"/>
      <w:lvlText w:val="-"/>
      <w:lvlJc w:val="left"/>
      <w:pPr>
        <w:ind w:left="585" w:hanging="360"/>
      </w:pPr>
      <w:rPr>
        <w:rFonts w:ascii="Times New Roman" w:eastAsia="Times New Roman" w:hAnsi="Times New Roman" w:cs="Times New Roman" w:hint="default"/>
      </w:rPr>
    </w:lvl>
    <w:lvl w:ilvl="1" w:tplc="04020003" w:tentative="1">
      <w:start w:val="1"/>
      <w:numFmt w:val="bullet"/>
      <w:lvlText w:val="o"/>
      <w:lvlJc w:val="left"/>
      <w:pPr>
        <w:ind w:left="1305" w:hanging="360"/>
      </w:pPr>
      <w:rPr>
        <w:rFonts w:ascii="Courier New" w:hAnsi="Courier New" w:cs="Courier New" w:hint="default"/>
      </w:rPr>
    </w:lvl>
    <w:lvl w:ilvl="2" w:tplc="04020005" w:tentative="1">
      <w:start w:val="1"/>
      <w:numFmt w:val="bullet"/>
      <w:lvlText w:val=""/>
      <w:lvlJc w:val="left"/>
      <w:pPr>
        <w:ind w:left="2025" w:hanging="360"/>
      </w:pPr>
      <w:rPr>
        <w:rFonts w:ascii="Wingdings" w:hAnsi="Wingdings" w:hint="default"/>
      </w:rPr>
    </w:lvl>
    <w:lvl w:ilvl="3" w:tplc="04020001" w:tentative="1">
      <w:start w:val="1"/>
      <w:numFmt w:val="bullet"/>
      <w:lvlText w:val=""/>
      <w:lvlJc w:val="left"/>
      <w:pPr>
        <w:ind w:left="2745" w:hanging="360"/>
      </w:pPr>
      <w:rPr>
        <w:rFonts w:ascii="Symbol" w:hAnsi="Symbol" w:hint="default"/>
      </w:rPr>
    </w:lvl>
    <w:lvl w:ilvl="4" w:tplc="04020003" w:tentative="1">
      <w:start w:val="1"/>
      <w:numFmt w:val="bullet"/>
      <w:lvlText w:val="o"/>
      <w:lvlJc w:val="left"/>
      <w:pPr>
        <w:ind w:left="3465" w:hanging="360"/>
      </w:pPr>
      <w:rPr>
        <w:rFonts w:ascii="Courier New" w:hAnsi="Courier New" w:cs="Courier New" w:hint="default"/>
      </w:rPr>
    </w:lvl>
    <w:lvl w:ilvl="5" w:tplc="04020005" w:tentative="1">
      <w:start w:val="1"/>
      <w:numFmt w:val="bullet"/>
      <w:lvlText w:val=""/>
      <w:lvlJc w:val="left"/>
      <w:pPr>
        <w:ind w:left="4185" w:hanging="360"/>
      </w:pPr>
      <w:rPr>
        <w:rFonts w:ascii="Wingdings" w:hAnsi="Wingdings" w:hint="default"/>
      </w:rPr>
    </w:lvl>
    <w:lvl w:ilvl="6" w:tplc="04020001" w:tentative="1">
      <w:start w:val="1"/>
      <w:numFmt w:val="bullet"/>
      <w:lvlText w:val=""/>
      <w:lvlJc w:val="left"/>
      <w:pPr>
        <w:ind w:left="4905" w:hanging="360"/>
      </w:pPr>
      <w:rPr>
        <w:rFonts w:ascii="Symbol" w:hAnsi="Symbol" w:hint="default"/>
      </w:rPr>
    </w:lvl>
    <w:lvl w:ilvl="7" w:tplc="04020003" w:tentative="1">
      <w:start w:val="1"/>
      <w:numFmt w:val="bullet"/>
      <w:lvlText w:val="o"/>
      <w:lvlJc w:val="left"/>
      <w:pPr>
        <w:ind w:left="5625" w:hanging="360"/>
      </w:pPr>
      <w:rPr>
        <w:rFonts w:ascii="Courier New" w:hAnsi="Courier New" w:cs="Courier New" w:hint="default"/>
      </w:rPr>
    </w:lvl>
    <w:lvl w:ilvl="8" w:tplc="04020005" w:tentative="1">
      <w:start w:val="1"/>
      <w:numFmt w:val="bullet"/>
      <w:lvlText w:val=""/>
      <w:lvlJc w:val="left"/>
      <w:pPr>
        <w:ind w:left="6345" w:hanging="360"/>
      </w:pPr>
      <w:rPr>
        <w:rFonts w:ascii="Wingdings" w:hAnsi="Wingdings" w:hint="default"/>
      </w:rPr>
    </w:lvl>
  </w:abstractNum>
  <w:abstractNum w:abstractNumId="33" w15:restartNumberingAfterBreak="0">
    <w:nsid w:val="70CF0BD8"/>
    <w:multiLevelType w:val="multilevel"/>
    <w:tmpl w:val="1C82F44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4" w15:restartNumberingAfterBreak="0">
    <w:nsid w:val="74647CAF"/>
    <w:multiLevelType w:val="hybridMultilevel"/>
    <w:tmpl w:val="8486A142"/>
    <w:lvl w:ilvl="0" w:tplc="F05465CA">
      <w:start w:val="71"/>
      <w:numFmt w:val="bullet"/>
      <w:lvlText w:val="-"/>
      <w:lvlJc w:val="left"/>
      <w:pPr>
        <w:ind w:left="495" w:hanging="360"/>
      </w:pPr>
      <w:rPr>
        <w:rFonts w:ascii="Times New Roman" w:eastAsia="Calibri" w:hAnsi="Times New Roman" w:cs="Times New Roman" w:hint="default"/>
      </w:rPr>
    </w:lvl>
    <w:lvl w:ilvl="1" w:tplc="08090003" w:tentative="1">
      <w:start w:val="1"/>
      <w:numFmt w:val="bullet"/>
      <w:lvlText w:val="o"/>
      <w:lvlJc w:val="left"/>
      <w:pPr>
        <w:ind w:left="1215" w:hanging="360"/>
      </w:pPr>
      <w:rPr>
        <w:rFonts w:ascii="Courier New" w:hAnsi="Courier New" w:cs="Courier New" w:hint="default"/>
      </w:rPr>
    </w:lvl>
    <w:lvl w:ilvl="2" w:tplc="08090005" w:tentative="1">
      <w:start w:val="1"/>
      <w:numFmt w:val="bullet"/>
      <w:lvlText w:val=""/>
      <w:lvlJc w:val="left"/>
      <w:pPr>
        <w:ind w:left="1935" w:hanging="360"/>
      </w:pPr>
      <w:rPr>
        <w:rFonts w:ascii="Wingdings" w:hAnsi="Wingdings" w:hint="default"/>
      </w:rPr>
    </w:lvl>
    <w:lvl w:ilvl="3" w:tplc="08090001" w:tentative="1">
      <w:start w:val="1"/>
      <w:numFmt w:val="bullet"/>
      <w:lvlText w:val=""/>
      <w:lvlJc w:val="left"/>
      <w:pPr>
        <w:ind w:left="2655" w:hanging="360"/>
      </w:pPr>
      <w:rPr>
        <w:rFonts w:ascii="Symbol" w:hAnsi="Symbol" w:hint="default"/>
      </w:rPr>
    </w:lvl>
    <w:lvl w:ilvl="4" w:tplc="08090003" w:tentative="1">
      <w:start w:val="1"/>
      <w:numFmt w:val="bullet"/>
      <w:lvlText w:val="o"/>
      <w:lvlJc w:val="left"/>
      <w:pPr>
        <w:ind w:left="3375" w:hanging="360"/>
      </w:pPr>
      <w:rPr>
        <w:rFonts w:ascii="Courier New" w:hAnsi="Courier New" w:cs="Courier New" w:hint="default"/>
      </w:rPr>
    </w:lvl>
    <w:lvl w:ilvl="5" w:tplc="08090005" w:tentative="1">
      <w:start w:val="1"/>
      <w:numFmt w:val="bullet"/>
      <w:lvlText w:val=""/>
      <w:lvlJc w:val="left"/>
      <w:pPr>
        <w:ind w:left="4095" w:hanging="360"/>
      </w:pPr>
      <w:rPr>
        <w:rFonts w:ascii="Wingdings" w:hAnsi="Wingdings" w:hint="default"/>
      </w:rPr>
    </w:lvl>
    <w:lvl w:ilvl="6" w:tplc="08090001" w:tentative="1">
      <w:start w:val="1"/>
      <w:numFmt w:val="bullet"/>
      <w:lvlText w:val=""/>
      <w:lvlJc w:val="left"/>
      <w:pPr>
        <w:ind w:left="4815" w:hanging="360"/>
      </w:pPr>
      <w:rPr>
        <w:rFonts w:ascii="Symbol" w:hAnsi="Symbol" w:hint="default"/>
      </w:rPr>
    </w:lvl>
    <w:lvl w:ilvl="7" w:tplc="08090003" w:tentative="1">
      <w:start w:val="1"/>
      <w:numFmt w:val="bullet"/>
      <w:lvlText w:val="o"/>
      <w:lvlJc w:val="left"/>
      <w:pPr>
        <w:ind w:left="5535" w:hanging="360"/>
      </w:pPr>
      <w:rPr>
        <w:rFonts w:ascii="Courier New" w:hAnsi="Courier New" w:cs="Courier New" w:hint="default"/>
      </w:rPr>
    </w:lvl>
    <w:lvl w:ilvl="8" w:tplc="08090005" w:tentative="1">
      <w:start w:val="1"/>
      <w:numFmt w:val="bullet"/>
      <w:lvlText w:val=""/>
      <w:lvlJc w:val="left"/>
      <w:pPr>
        <w:ind w:left="6255" w:hanging="360"/>
      </w:pPr>
      <w:rPr>
        <w:rFonts w:ascii="Wingdings" w:hAnsi="Wingdings" w:hint="default"/>
      </w:rPr>
    </w:lvl>
  </w:abstractNum>
  <w:abstractNum w:abstractNumId="35" w15:restartNumberingAfterBreak="0">
    <w:nsid w:val="74F10028"/>
    <w:multiLevelType w:val="multilevel"/>
    <w:tmpl w:val="1C82F44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6" w15:restartNumberingAfterBreak="0">
    <w:nsid w:val="7585523A"/>
    <w:multiLevelType w:val="multilevel"/>
    <w:tmpl w:val="1C82F44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7" w15:restartNumberingAfterBreak="0">
    <w:nsid w:val="7D015595"/>
    <w:multiLevelType w:val="hybridMultilevel"/>
    <w:tmpl w:val="16B68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7"/>
  </w:num>
  <w:num w:numId="3">
    <w:abstractNumId w:val="34"/>
  </w:num>
  <w:num w:numId="4">
    <w:abstractNumId w:val="21"/>
  </w:num>
  <w:num w:numId="5">
    <w:abstractNumId w:val="30"/>
  </w:num>
  <w:num w:numId="6">
    <w:abstractNumId w:val="18"/>
  </w:num>
  <w:num w:numId="7">
    <w:abstractNumId w:val="20"/>
  </w:num>
  <w:num w:numId="8">
    <w:abstractNumId w:val="1"/>
  </w:num>
  <w:num w:numId="9">
    <w:abstractNumId w:val="31"/>
  </w:num>
  <w:num w:numId="10">
    <w:abstractNumId w:val="37"/>
  </w:num>
  <w:num w:numId="11">
    <w:abstractNumId w:val="19"/>
  </w:num>
  <w:num w:numId="12">
    <w:abstractNumId w:val="5"/>
  </w:num>
  <w:num w:numId="13">
    <w:abstractNumId w:val="0"/>
  </w:num>
  <w:num w:numId="14">
    <w:abstractNumId w:val="13"/>
  </w:num>
  <w:num w:numId="15">
    <w:abstractNumId w:val="10"/>
  </w:num>
  <w:num w:numId="16">
    <w:abstractNumId w:val="3"/>
  </w:num>
  <w:num w:numId="17">
    <w:abstractNumId w:val="4"/>
  </w:num>
  <w:num w:numId="18">
    <w:abstractNumId w:val="27"/>
  </w:num>
  <w:num w:numId="19">
    <w:abstractNumId w:val="11"/>
  </w:num>
  <w:num w:numId="20">
    <w:abstractNumId w:val="29"/>
  </w:num>
  <w:num w:numId="21">
    <w:abstractNumId w:val="35"/>
  </w:num>
  <w:num w:numId="22">
    <w:abstractNumId w:val="7"/>
  </w:num>
  <w:num w:numId="23">
    <w:abstractNumId w:val="33"/>
  </w:num>
  <w:num w:numId="24">
    <w:abstractNumId w:val="14"/>
  </w:num>
  <w:num w:numId="25">
    <w:abstractNumId w:val="6"/>
  </w:num>
  <w:num w:numId="26">
    <w:abstractNumId w:val="36"/>
  </w:num>
  <w:num w:numId="27">
    <w:abstractNumId w:val="23"/>
  </w:num>
  <w:num w:numId="28">
    <w:abstractNumId w:val="22"/>
  </w:num>
  <w:num w:numId="29">
    <w:abstractNumId w:val="28"/>
  </w:num>
  <w:num w:numId="30">
    <w:abstractNumId w:val="2"/>
  </w:num>
  <w:num w:numId="31">
    <w:abstractNumId w:val="26"/>
  </w:num>
  <w:num w:numId="32">
    <w:abstractNumId w:val="32"/>
  </w:num>
  <w:num w:numId="33">
    <w:abstractNumId w:val="12"/>
  </w:num>
  <w:num w:numId="34">
    <w:abstractNumId w:val="25"/>
  </w:num>
  <w:num w:numId="35">
    <w:abstractNumId w:val="9"/>
  </w:num>
  <w:num w:numId="36">
    <w:abstractNumId w:val="24"/>
  </w:num>
  <w:num w:numId="37">
    <w:abstractNumId w:val="8"/>
  </w:num>
  <w:num w:numId="3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F90"/>
    <w:rsid w:val="00045C65"/>
    <w:rsid w:val="00054F9D"/>
    <w:rsid w:val="000637B7"/>
    <w:rsid w:val="00063A6F"/>
    <w:rsid w:val="000671A4"/>
    <w:rsid w:val="000973BD"/>
    <w:rsid w:val="000C542F"/>
    <w:rsid w:val="000D7B97"/>
    <w:rsid w:val="00107967"/>
    <w:rsid w:val="00136413"/>
    <w:rsid w:val="00136C57"/>
    <w:rsid w:val="00146D6E"/>
    <w:rsid w:val="00197DD9"/>
    <w:rsid w:val="001A2C66"/>
    <w:rsid w:val="001D3479"/>
    <w:rsid w:val="001E2B7D"/>
    <w:rsid w:val="001F1F87"/>
    <w:rsid w:val="001F7103"/>
    <w:rsid w:val="00227FC6"/>
    <w:rsid w:val="0025158C"/>
    <w:rsid w:val="00252EC8"/>
    <w:rsid w:val="00287F7F"/>
    <w:rsid w:val="002A5E74"/>
    <w:rsid w:val="002B6447"/>
    <w:rsid w:val="002C59C0"/>
    <w:rsid w:val="0032203D"/>
    <w:rsid w:val="00350AE8"/>
    <w:rsid w:val="003B0B08"/>
    <w:rsid w:val="003B1669"/>
    <w:rsid w:val="003D44A4"/>
    <w:rsid w:val="003F655B"/>
    <w:rsid w:val="00425D0F"/>
    <w:rsid w:val="004373FD"/>
    <w:rsid w:val="00444089"/>
    <w:rsid w:val="00452456"/>
    <w:rsid w:val="0045383B"/>
    <w:rsid w:val="004572EB"/>
    <w:rsid w:val="00486C5D"/>
    <w:rsid w:val="00507E72"/>
    <w:rsid w:val="0051442A"/>
    <w:rsid w:val="005160D6"/>
    <w:rsid w:val="00524D3B"/>
    <w:rsid w:val="00536B5B"/>
    <w:rsid w:val="00580A13"/>
    <w:rsid w:val="005B41D8"/>
    <w:rsid w:val="005C03C6"/>
    <w:rsid w:val="005C5485"/>
    <w:rsid w:val="005E1087"/>
    <w:rsid w:val="0061357B"/>
    <w:rsid w:val="0062011F"/>
    <w:rsid w:val="00622230"/>
    <w:rsid w:val="00622732"/>
    <w:rsid w:val="006D3339"/>
    <w:rsid w:val="006D3D0E"/>
    <w:rsid w:val="00707F77"/>
    <w:rsid w:val="00746A14"/>
    <w:rsid w:val="0075062A"/>
    <w:rsid w:val="00752DED"/>
    <w:rsid w:val="00771495"/>
    <w:rsid w:val="007764F3"/>
    <w:rsid w:val="00787572"/>
    <w:rsid w:val="00794C66"/>
    <w:rsid w:val="007A25E9"/>
    <w:rsid w:val="007A6FE7"/>
    <w:rsid w:val="007C01A2"/>
    <w:rsid w:val="007C0A72"/>
    <w:rsid w:val="008346E4"/>
    <w:rsid w:val="00835339"/>
    <w:rsid w:val="00836538"/>
    <w:rsid w:val="00845654"/>
    <w:rsid w:val="008D75DC"/>
    <w:rsid w:val="008E6C7A"/>
    <w:rsid w:val="00940EDF"/>
    <w:rsid w:val="00951707"/>
    <w:rsid w:val="00997F86"/>
    <w:rsid w:val="009B05DA"/>
    <w:rsid w:val="009B77DA"/>
    <w:rsid w:val="009C3A0E"/>
    <w:rsid w:val="009F225B"/>
    <w:rsid w:val="009F4530"/>
    <w:rsid w:val="00A26D00"/>
    <w:rsid w:val="00A432F8"/>
    <w:rsid w:val="00A961E9"/>
    <w:rsid w:val="00A9690A"/>
    <w:rsid w:val="00AA3CB5"/>
    <w:rsid w:val="00AD04B1"/>
    <w:rsid w:val="00AD7155"/>
    <w:rsid w:val="00AE0F90"/>
    <w:rsid w:val="00B30976"/>
    <w:rsid w:val="00B46EB7"/>
    <w:rsid w:val="00B6486C"/>
    <w:rsid w:val="00BC457A"/>
    <w:rsid w:val="00BE7192"/>
    <w:rsid w:val="00BF19EA"/>
    <w:rsid w:val="00C12FF8"/>
    <w:rsid w:val="00C325B1"/>
    <w:rsid w:val="00C4106F"/>
    <w:rsid w:val="00C71DFE"/>
    <w:rsid w:val="00C856F3"/>
    <w:rsid w:val="00CA6FE8"/>
    <w:rsid w:val="00CD668C"/>
    <w:rsid w:val="00D20631"/>
    <w:rsid w:val="00D22679"/>
    <w:rsid w:val="00D7314C"/>
    <w:rsid w:val="00DD0FD0"/>
    <w:rsid w:val="00DD3CE5"/>
    <w:rsid w:val="00DF7DA4"/>
    <w:rsid w:val="00E07E67"/>
    <w:rsid w:val="00E14E15"/>
    <w:rsid w:val="00E37E50"/>
    <w:rsid w:val="00E43620"/>
    <w:rsid w:val="00E724A7"/>
    <w:rsid w:val="00EA7BD2"/>
    <w:rsid w:val="00ED3E87"/>
    <w:rsid w:val="00EF0C73"/>
    <w:rsid w:val="00EF181E"/>
    <w:rsid w:val="00EF1B83"/>
    <w:rsid w:val="00F00FD2"/>
    <w:rsid w:val="00F11A72"/>
    <w:rsid w:val="00F201B1"/>
    <w:rsid w:val="00F300A0"/>
    <w:rsid w:val="00F31DEC"/>
    <w:rsid w:val="00F4155C"/>
    <w:rsid w:val="00F70070"/>
    <w:rsid w:val="00F82278"/>
    <w:rsid w:val="00FA50E5"/>
    <w:rsid w:val="00FB7145"/>
    <w:rsid w:val="00FC3B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F15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F90"/>
    <w:pPr>
      <w:spacing w:after="200" w:line="276" w:lineRule="auto"/>
    </w:pPr>
    <w:rPr>
      <w:rFonts w:ascii="Calibri" w:eastAsia="Calibri" w:hAnsi="Calibri" w:cs="Times New Roman"/>
      <w:lang w:val="bg-BG"/>
    </w:rPr>
  </w:style>
  <w:style w:type="paragraph" w:styleId="Heading1">
    <w:name w:val="heading 1"/>
    <w:basedOn w:val="Normal"/>
    <w:next w:val="Normal"/>
    <w:link w:val="Heading1Char"/>
    <w:uiPriority w:val="9"/>
    <w:qFormat/>
    <w:rsid w:val="00AE0F90"/>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AE0F90"/>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unhideWhenUsed/>
    <w:qFormat/>
    <w:rsid w:val="00AE0F90"/>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0F90"/>
    <w:rPr>
      <w:rFonts w:ascii="Cambria" w:eastAsia="Times New Roman" w:hAnsi="Cambria" w:cs="Times New Roman"/>
      <w:b/>
      <w:bCs/>
      <w:kern w:val="32"/>
      <w:sz w:val="32"/>
      <w:szCs w:val="32"/>
      <w:lang w:val="bg-BG"/>
    </w:rPr>
  </w:style>
  <w:style w:type="character" w:customStyle="1" w:styleId="Heading2Char">
    <w:name w:val="Heading 2 Char"/>
    <w:basedOn w:val="DefaultParagraphFont"/>
    <w:link w:val="Heading2"/>
    <w:uiPriority w:val="9"/>
    <w:rsid w:val="00AE0F90"/>
    <w:rPr>
      <w:rFonts w:ascii="Cambria" w:eastAsia="Times New Roman" w:hAnsi="Cambria" w:cs="Times New Roman"/>
      <w:b/>
      <w:bCs/>
      <w:i/>
      <w:iCs/>
      <w:sz w:val="28"/>
      <w:szCs w:val="28"/>
      <w:lang w:val="bg-BG"/>
    </w:rPr>
  </w:style>
  <w:style w:type="character" w:customStyle="1" w:styleId="Heading3Char">
    <w:name w:val="Heading 3 Char"/>
    <w:basedOn w:val="DefaultParagraphFont"/>
    <w:link w:val="Heading3"/>
    <w:uiPriority w:val="9"/>
    <w:rsid w:val="00AE0F90"/>
    <w:rPr>
      <w:rFonts w:ascii="Cambria" w:eastAsia="Times New Roman" w:hAnsi="Cambria" w:cs="Times New Roman"/>
      <w:b/>
      <w:bCs/>
      <w:sz w:val="26"/>
      <w:szCs w:val="26"/>
      <w:lang w:val="bg-BG"/>
    </w:rPr>
  </w:style>
  <w:style w:type="character" w:styleId="Hyperlink">
    <w:name w:val="Hyperlink"/>
    <w:uiPriority w:val="99"/>
    <w:rsid w:val="00AE0F90"/>
    <w:rPr>
      <w:color w:val="0000FF"/>
      <w:u w:val="single"/>
    </w:rPr>
  </w:style>
  <w:style w:type="paragraph" w:styleId="BodyText">
    <w:name w:val="Body Text"/>
    <w:basedOn w:val="Normal"/>
    <w:link w:val="BodyTextChar"/>
    <w:qFormat/>
    <w:rsid w:val="00AE0F90"/>
    <w:pPr>
      <w:spacing w:after="60" w:line="240" w:lineRule="auto"/>
      <w:jc w:val="both"/>
    </w:pPr>
    <w:rPr>
      <w:rFonts w:ascii="Tahoma" w:eastAsia="Times New Roman" w:hAnsi="Tahoma"/>
      <w:sz w:val="24"/>
      <w:szCs w:val="20"/>
      <w:lang w:val="en-GB" w:eastAsia="bg-BG"/>
    </w:rPr>
  </w:style>
  <w:style w:type="character" w:customStyle="1" w:styleId="BodyTextChar">
    <w:name w:val="Body Text Char"/>
    <w:basedOn w:val="DefaultParagraphFont"/>
    <w:link w:val="BodyText"/>
    <w:rsid w:val="00AE0F90"/>
    <w:rPr>
      <w:rFonts w:ascii="Tahoma" w:eastAsia="Times New Roman" w:hAnsi="Tahoma" w:cs="Times New Roman"/>
      <w:sz w:val="24"/>
      <w:szCs w:val="20"/>
      <w:lang w:eastAsia="bg-BG"/>
    </w:rPr>
  </w:style>
  <w:style w:type="paragraph" w:styleId="FootnoteText">
    <w:name w:val="footnote text"/>
    <w:aliases w:val="Podrozdział,stile 1,Footnote,Footnote1,Footnote2,Footnote3,Footnote4,Footnote5,Footnote6,Footnote7,Footnote8,Footnote9,Footnote10,Footnote11,Footnote21,Footnote31,Footnote41,Footnote51,Footnote61,Footnote71,Footnote81,Footnote91,single spa"/>
    <w:basedOn w:val="Normal"/>
    <w:link w:val="FootnoteTextChar"/>
    <w:uiPriority w:val="99"/>
    <w:qFormat/>
    <w:rsid w:val="00AE0F90"/>
    <w:pPr>
      <w:spacing w:after="0" w:line="240" w:lineRule="auto"/>
    </w:pPr>
    <w:rPr>
      <w:rFonts w:ascii="Tahoma" w:eastAsia="Times New Roman" w:hAnsi="Tahoma"/>
      <w:sz w:val="20"/>
      <w:szCs w:val="20"/>
      <w:lang w:eastAsia="bg-BG"/>
    </w:rPr>
  </w:style>
  <w:style w:type="character" w:customStyle="1" w:styleId="FootnoteTextChar">
    <w:name w:val="Footnote Text Char"/>
    <w:aliases w:val="Podrozdział Char,stile 1 Char,Footnote Char,Footnote1 Char,Footnote2 Char,Footnote3 Char,Footnote4 Char,Footnote5 Char,Footnote6 Char,Footnote7 Char,Footnote8 Char,Footnote9 Char,Footnote10 Char,Footnote11 Char,Footnote21 Char"/>
    <w:basedOn w:val="DefaultParagraphFont"/>
    <w:link w:val="FootnoteText"/>
    <w:uiPriority w:val="99"/>
    <w:rsid w:val="00AE0F90"/>
    <w:rPr>
      <w:rFonts w:ascii="Tahoma" w:eastAsia="Times New Roman" w:hAnsi="Tahoma" w:cs="Times New Roman"/>
      <w:sz w:val="20"/>
      <w:szCs w:val="20"/>
      <w:lang w:val="bg-BG" w:eastAsia="bg-BG"/>
    </w:rPr>
  </w:style>
  <w:style w:type="character" w:styleId="FootnoteReference">
    <w:name w:val="footnote reference"/>
    <w:aliases w:val="Footnote symbol,Appel note de bas de p,SUPERS,Nota,(NECG) Footnote Reference,Voetnootverwijzing,Footnote Reference Superscript,BVI fnr,Lábjegyzet-hivatkozás,L?bjegyzet-hivatkoz?s,Char1 Char Char Char Char,ftref,Footnotes refss,Fussnot"/>
    <w:uiPriority w:val="99"/>
    <w:rsid w:val="00AE0F90"/>
    <w:rPr>
      <w:vertAlign w:val="superscript"/>
    </w:rPr>
  </w:style>
  <w:style w:type="paragraph" w:styleId="Caption">
    <w:name w:val="caption"/>
    <w:basedOn w:val="Normal"/>
    <w:next w:val="Normal"/>
    <w:qFormat/>
    <w:rsid w:val="00AE0F90"/>
    <w:pPr>
      <w:spacing w:after="0" w:line="240" w:lineRule="auto"/>
    </w:pPr>
    <w:rPr>
      <w:rFonts w:ascii="Tahoma" w:eastAsia="Times New Roman" w:hAnsi="Tahoma" w:cs="Tahoma"/>
      <w:b/>
      <w:bCs/>
      <w:sz w:val="20"/>
      <w:szCs w:val="20"/>
      <w:lang w:eastAsia="bg-BG"/>
    </w:rPr>
  </w:style>
  <w:style w:type="paragraph" w:customStyle="1" w:styleId="Default">
    <w:name w:val="Default"/>
    <w:rsid w:val="00AE0F90"/>
    <w:pPr>
      <w:widowControl w:val="0"/>
      <w:autoSpaceDE w:val="0"/>
      <w:autoSpaceDN w:val="0"/>
      <w:adjustRightInd w:val="0"/>
      <w:spacing w:after="0" w:line="240" w:lineRule="auto"/>
    </w:pPr>
    <w:rPr>
      <w:rFonts w:ascii="Tahoma" w:eastAsia="Times New Roman" w:hAnsi="Tahoma" w:cs="Tahoma"/>
      <w:color w:val="000000"/>
      <w:sz w:val="24"/>
      <w:szCs w:val="24"/>
      <w:lang w:val="bg-BG" w:eastAsia="bg-BG"/>
    </w:rPr>
  </w:style>
  <w:style w:type="paragraph" w:styleId="ListParagraph">
    <w:name w:val="List Paragraph"/>
    <w:basedOn w:val="Normal"/>
    <w:uiPriority w:val="99"/>
    <w:qFormat/>
    <w:rsid w:val="00AE0F90"/>
    <w:pPr>
      <w:spacing w:line="240" w:lineRule="auto"/>
      <w:ind w:left="720" w:hanging="360"/>
      <w:contextualSpacing/>
    </w:pPr>
    <w:rPr>
      <w:rFonts w:eastAsia="Times New Roman" w:cs="Tahoma"/>
      <w:lang w:eastAsia="bg-BG"/>
    </w:rPr>
  </w:style>
  <w:style w:type="paragraph" w:styleId="CommentText">
    <w:name w:val="annotation text"/>
    <w:basedOn w:val="Normal"/>
    <w:link w:val="CommentTextChar"/>
    <w:rsid w:val="00AE0F90"/>
    <w:pPr>
      <w:spacing w:after="0" w:line="240" w:lineRule="auto"/>
    </w:pPr>
    <w:rPr>
      <w:rFonts w:ascii="Tahoma" w:eastAsia="Times New Roman" w:hAnsi="Tahoma"/>
      <w:sz w:val="20"/>
      <w:szCs w:val="20"/>
      <w:lang w:eastAsia="bg-BG"/>
    </w:rPr>
  </w:style>
  <w:style w:type="character" w:customStyle="1" w:styleId="CommentTextChar">
    <w:name w:val="Comment Text Char"/>
    <w:basedOn w:val="DefaultParagraphFont"/>
    <w:link w:val="CommentText"/>
    <w:rsid w:val="00AE0F90"/>
    <w:rPr>
      <w:rFonts w:ascii="Tahoma" w:eastAsia="Times New Roman" w:hAnsi="Tahoma" w:cs="Times New Roman"/>
      <w:sz w:val="20"/>
      <w:szCs w:val="20"/>
      <w:lang w:val="bg-BG" w:eastAsia="bg-BG"/>
    </w:rPr>
  </w:style>
  <w:style w:type="paragraph" w:styleId="Header">
    <w:name w:val="header"/>
    <w:basedOn w:val="Normal"/>
    <w:link w:val="HeaderChar"/>
    <w:uiPriority w:val="99"/>
    <w:unhideWhenUsed/>
    <w:rsid w:val="00AE0F90"/>
    <w:pPr>
      <w:tabs>
        <w:tab w:val="center" w:pos="4536"/>
        <w:tab w:val="right" w:pos="9072"/>
      </w:tabs>
      <w:spacing w:after="0" w:line="240" w:lineRule="auto"/>
    </w:pPr>
  </w:style>
  <w:style w:type="character" w:customStyle="1" w:styleId="HeaderChar">
    <w:name w:val="Header Char"/>
    <w:basedOn w:val="DefaultParagraphFont"/>
    <w:link w:val="Header"/>
    <w:uiPriority w:val="99"/>
    <w:rsid w:val="00AE0F90"/>
    <w:rPr>
      <w:rFonts w:ascii="Calibri" w:eastAsia="Calibri" w:hAnsi="Calibri" w:cs="Times New Roman"/>
      <w:lang w:val="bg-BG"/>
    </w:rPr>
  </w:style>
  <w:style w:type="paragraph" w:styleId="Footer">
    <w:name w:val="footer"/>
    <w:basedOn w:val="Normal"/>
    <w:link w:val="FooterChar"/>
    <w:uiPriority w:val="99"/>
    <w:unhideWhenUsed/>
    <w:rsid w:val="00AE0F90"/>
    <w:pPr>
      <w:tabs>
        <w:tab w:val="center" w:pos="4536"/>
        <w:tab w:val="right" w:pos="9072"/>
      </w:tabs>
      <w:spacing w:after="0" w:line="240" w:lineRule="auto"/>
    </w:pPr>
  </w:style>
  <w:style w:type="character" w:customStyle="1" w:styleId="FooterChar">
    <w:name w:val="Footer Char"/>
    <w:basedOn w:val="DefaultParagraphFont"/>
    <w:link w:val="Footer"/>
    <w:uiPriority w:val="99"/>
    <w:rsid w:val="00AE0F90"/>
    <w:rPr>
      <w:rFonts w:ascii="Calibri" w:eastAsia="Calibri" w:hAnsi="Calibri" w:cs="Times New Roman"/>
      <w:lang w:val="bg-BG"/>
    </w:rPr>
  </w:style>
  <w:style w:type="paragraph" w:styleId="BalloonText">
    <w:name w:val="Balloon Text"/>
    <w:basedOn w:val="Normal"/>
    <w:link w:val="BalloonTextChar"/>
    <w:uiPriority w:val="99"/>
    <w:semiHidden/>
    <w:unhideWhenUsed/>
    <w:rsid w:val="00AE0F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0F90"/>
    <w:rPr>
      <w:rFonts w:ascii="Tahoma" w:eastAsia="Calibri" w:hAnsi="Tahoma" w:cs="Tahoma"/>
      <w:sz w:val="16"/>
      <w:szCs w:val="16"/>
      <w:lang w:val="bg-BG"/>
    </w:rPr>
  </w:style>
  <w:style w:type="paragraph" w:styleId="NormalWeb">
    <w:name w:val="Normal (Web)"/>
    <w:basedOn w:val="Normal"/>
    <w:link w:val="NormalWebChar"/>
    <w:rsid w:val="00AE0F90"/>
    <w:pPr>
      <w:suppressAutoHyphens/>
      <w:spacing w:before="280" w:after="280" w:line="240" w:lineRule="auto"/>
    </w:pPr>
    <w:rPr>
      <w:rFonts w:ascii="Tahoma" w:eastAsia="Times New Roman" w:hAnsi="Tahoma"/>
      <w:sz w:val="24"/>
      <w:szCs w:val="24"/>
      <w:lang w:val="en-US" w:eastAsia="ar-SA"/>
    </w:rPr>
  </w:style>
  <w:style w:type="character" w:customStyle="1" w:styleId="NormalWebChar">
    <w:name w:val="Normal (Web) Char"/>
    <w:link w:val="NormalWeb"/>
    <w:locked/>
    <w:rsid w:val="00AE0F90"/>
    <w:rPr>
      <w:rFonts w:ascii="Tahoma" w:eastAsia="Times New Roman" w:hAnsi="Tahoma" w:cs="Times New Roman"/>
      <w:sz w:val="24"/>
      <w:szCs w:val="24"/>
      <w:lang w:val="en-US" w:eastAsia="ar-SA"/>
    </w:rPr>
  </w:style>
  <w:style w:type="paragraph" w:customStyle="1" w:styleId="Text3">
    <w:name w:val="Text 3"/>
    <w:basedOn w:val="Normal"/>
    <w:rsid w:val="00AE0F90"/>
    <w:pPr>
      <w:spacing w:before="120" w:after="120" w:line="240" w:lineRule="auto"/>
      <w:ind w:left="850"/>
      <w:jc w:val="both"/>
    </w:pPr>
    <w:rPr>
      <w:rFonts w:ascii="Times New Roman" w:eastAsia="Times New Roman" w:hAnsi="Times New Roman"/>
      <w:snapToGrid w:val="0"/>
      <w:sz w:val="24"/>
      <w:szCs w:val="24"/>
      <w:lang w:eastAsia="en-GB"/>
    </w:rPr>
  </w:style>
  <w:style w:type="paragraph" w:customStyle="1" w:styleId="5Normal">
    <w:name w:val="5 Normal"/>
    <w:link w:val="5NormalChar"/>
    <w:rsid w:val="00AE0F90"/>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pacing w:after="120" w:line="240" w:lineRule="auto"/>
      <w:jc w:val="both"/>
    </w:pPr>
    <w:rPr>
      <w:rFonts w:ascii="Arial" w:eastAsia="Times New Roman" w:hAnsi="Arial" w:cs="Times New Roman"/>
      <w:spacing w:val="-2"/>
      <w:szCs w:val="20"/>
      <w:lang w:eastAsia="en-GB"/>
    </w:rPr>
  </w:style>
  <w:style w:type="character" w:customStyle="1" w:styleId="5NormalChar">
    <w:name w:val="5 Normal Char"/>
    <w:link w:val="5Normal"/>
    <w:locked/>
    <w:rsid w:val="00AE0F90"/>
    <w:rPr>
      <w:rFonts w:ascii="Arial" w:eastAsia="Times New Roman" w:hAnsi="Arial" w:cs="Times New Roman"/>
      <w:spacing w:val="-2"/>
      <w:szCs w:val="20"/>
      <w:lang w:eastAsia="en-GB"/>
    </w:rPr>
  </w:style>
  <w:style w:type="paragraph" w:styleId="TOCHeading">
    <w:name w:val="TOC Heading"/>
    <w:basedOn w:val="Heading1"/>
    <w:next w:val="Normal"/>
    <w:uiPriority w:val="39"/>
    <w:semiHidden/>
    <w:unhideWhenUsed/>
    <w:qFormat/>
    <w:rsid w:val="00AE0F90"/>
    <w:pPr>
      <w:keepLines/>
      <w:spacing w:before="480" w:after="0"/>
      <w:outlineLvl w:val="9"/>
    </w:pPr>
    <w:rPr>
      <w:color w:val="365F91"/>
      <w:kern w:val="0"/>
      <w:sz w:val="28"/>
      <w:szCs w:val="28"/>
      <w:lang w:val="en-US" w:eastAsia="ja-JP"/>
    </w:rPr>
  </w:style>
  <w:style w:type="paragraph" w:styleId="TOC1">
    <w:name w:val="toc 1"/>
    <w:basedOn w:val="Normal"/>
    <w:next w:val="Normal"/>
    <w:autoRedefine/>
    <w:uiPriority w:val="39"/>
    <w:unhideWhenUsed/>
    <w:rsid w:val="00AE0F90"/>
  </w:style>
  <w:style w:type="paragraph" w:styleId="TOC2">
    <w:name w:val="toc 2"/>
    <w:basedOn w:val="Normal"/>
    <w:next w:val="Normal"/>
    <w:autoRedefine/>
    <w:uiPriority w:val="39"/>
    <w:unhideWhenUsed/>
    <w:rsid w:val="00AE0F90"/>
    <w:pPr>
      <w:ind w:left="220"/>
    </w:pPr>
  </w:style>
  <w:style w:type="paragraph" w:styleId="TOC3">
    <w:name w:val="toc 3"/>
    <w:basedOn w:val="Normal"/>
    <w:next w:val="Normal"/>
    <w:autoRedefine/>
    <w:uiPriority w:val="39"/>
    <w:unhideWhenUsed/>
    <w:rsid w:val="00AE0F90"/>
    <w:pPr>
      <w:ind w:left="440"/>
    </w:pPr>
  </w:style>
  <w:style w:type="character" w:customStyle="1" w:styleId="StyleBefore6ptChar">
    <w:name w:val="Style Before:  6 pt Char"/>
    <w:link w:val="StyleBefore6pt"/>
    <w:locked/>
    <w:rsid w:val="00AE0F90"/>
    <w:rPr>
      <w:sz w:val="24"/>
    </w:rPr>
  </w:style>
  <w:style w:type="paragraph" w:customStyle="1" w:styleId="StyleBefore6pt">
    <w:name w:val="Style Before:  6 pt"/>
    <w:basedOn w:val="Normal"/>
    <w:link w:val="StyleBefore6ptChar"/>
    <w:rsid w:val="00AE0F90"/>
    <w:pPr>
      <w:spacing w:before="120" w:after="0" w:line="240" w:lineRule="auto"/>
      <w:jc w:val="both"/>
    </w:pPr>
    <w:rPr>
      <w:rFonts w:asciiTheme="minorHAnsi" w:eastAsiaTheme="minorHAnsi" w:hAnsiTheme="minorHAnsi" w:cstheme="minorBidi"/>
      <w:sz w:val="24"/>
      <w:lang w:val="en-GB"/>
    </w:rPr>
  </w:style>
  <w:style w:type="character" w:styleId="FollowedHyperlink">
    <w:name w:val="FollowedHyperlink"/>
    <w:uiPriority w:val="99"/>
    <w:semiHidden/>
    <w:unhideWhenUsed/>
    <w:rsid w:val="00AE0F90"/>
    <w:rPr>
      <w:color w:val="954F72"/>
      <w:u w:val="single"/>
    </w:rPr>
  </w:style>
  <w:style w:type="character" w:customStyle="1" w:styleId="hps">
    <w:name w:val="hps"/>
    <w:basedOn w:val="DefaultParagraphFont"/>
    <w:rsid w:val="00AE0F90"/>
  </w:style>
  <w:style w:type="character" w:customStyle="1" w:styleId="FontStyle12">
    <w:name w:val="Font Style12"/>
    <w:rsid w:val="00AE0F90"/>
    <w:rPr>
      <w:rFonts w:ascii="Times New Roman" w:hAnsi="Times New Roman"/>
      <w:sz w:val="22"/>
    </w:rPr>
  </w:style>
  <w:style w:type="paragraph" w:styleId="PlainText">
    <w:name w:val="Plain Text"/>
    <w:basedOn w:val="Normal"/>
    <w:link w:val="PlainTextChar"/>
    <w:uiPriority w:val="99"/>
    <w:unhideWhenUsed/>
    <w:rsid w:val="00AE0F90"/>
    <w:pPr>
      <w:spacing w:after="0" w:line="240" w:lineRule="auto"/>
    </w:pPr>
    <w:rPr>
      <w:rFonts w:ascii="Consolas" w:hAnsi="Consolas"/>
      <w:sz w:val="21"/>
      <w:szCs w:val="21"/>
      <w:lang w:val="x-none"/>
    </w:rPr>
  </w:style>
  <w:style w:type="character" w:customStyle="1" w:styleId="PlainTextChar">
    <w:name w:val="Plain Text Char"/>
    <w:basedOn w:val="DefaultParagraphFont"/>
    <w:link w:val="PlainText"/>
    <w:uiPriority w:val="99"/>
    <w:rsid w:val="00AE0F90"/>
    <w:rPr>
      <w:rFonts w:ascii="Consolas" w:eastAsia="Calibri" w:hAnsi="Consolas" w:cs="Times New Roman"/>
      <w:sz w:val="21"/>
      <w:szCs w:val="21"/>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21" Type="http://schemas.openxmlformats.org/officeDocument/2006/relationships/image" Target="media/image14.png"/><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diagramLayout" Target="diagrams/layout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microsoft.com/office/2007/relationships/diagramDrawing" Target="diagrams/drawing1.xml"/><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diagramData" Target="diagrams/data1.xml"/><Relationship Id="rId36"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diagramColors" Target="diagrams/colors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diagramQuickStyle" Target="diagrams/quickStyle1.xml"/><Relationship Id="rId35" Type="http://schemas.openxmlformats.org/officeDocument/2006/relationships/footer" Target="footer1.xml"/><Relationship Id="rId8" Type="http://schemas.openxmlformats.org/officeDocument/2006/relationships/image" Target="media/image1.jpeg"/><Relationship Id="rId3" Type="http://schemas.openxmlformats.org/officeDocument/2006/relationships/styles" Target="styles.xml"/></Relationships>
</file>

<file path=word/diagrams/_rels/data1.xml.rels><?xml version="1.0" encoding="UTF-8" standalone="yes"?>
<Relationships xmlns="http://schemas.openxmlformats.org/package/2006/relationships"><Relationship Id="rId3" Type="http://schemas.openxmlformats.org/officeDocument/2006/relationships/image" Target="../media/image23.jpeg"/><Relationship Id="rId2" Type="http://schemas.openxmlformats.org/officeDocument/2006/relationships/image" Target="../media/image22.png"/><Relationship Id="rId1" Type="http://schemas.openxmlformats.org/officeDocument/2006/relationships/image" Target="../media/image21.png"/><Relationship Id="rId4" Type="http://schemas.openxmlformats.org/officeDocument/2006/relationships/image" Target="../media/image24.jpeg"/></Relationships>
</file>

<file path=word/diagrams/_rels/drawing1.xml.rels><?xml version="1.0" encoding="UTF-8" standalone="yes"?>
<Relationships xmlns="http://schemas.openxmlformats.org/package/2006/relationships"><Relationship Id="rId3" Type="http://schemas.openxmlformats.org/officeDocument/2006/relationships/image" Target="../media/image23.jpeg"/><Relationship Id="rId2" Type="http://schemas.openxmlformats.org/officeDocument/2006/relationships/image" Target="../media/image22.png"/><Relationship Id="rId1" Type="http://schemas.openxmlformats.org/officeDocument/2006/relationships/image" Target="../media/image21.png"/><Relationship Id="rId4" Type="http://schemas.openxmlformats.org/officeDocument/2006/relationships/image" Target="../media/image24.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D35207-1A63-4618-A468-796412A7633E}" type="doc">
      <dgm:prSet loTypeId="urn:microsoft.com/office/officeart/2005/8/layout/vList4" loCatId="picture" qsTypeId="urn:microsoft.com/office/officeart/2005/8/quickstyle/simple1" qsCatId="simple" csTypeId="urn:microsoft.com/office/officeart/2005/8/colors/accent1_2" csCatId="accent1" phldr="1"/>
      <dgm:spPr/>
      <dgm:t>
        <a:bodyPr/>
        <a:lstStyle/>
        <a:p>
          <a:endParaRPr lang="bg-BG"/>
        </a:p>
      </dgm:t>
    </dgm:pt>
    <dgm:pt modelId="{2F0794EB-CFCF-40C9-95D4-5F222F9E2B7A}">
      <dgm:prSet phldrT="[Text]"/>
      <dgm:spPr>
        <a:xfrm>
          <a:off x="0" y="2167328"/>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b="1">
              <a:solidFill>
                <a:sysClr val="window" lastClr="FFFFFF"/>
              </a:solidFill>
              <a:latin typeface="Calibri"/>
              <a:ea typeface="+mn-ea"/>
              <a:cs typeface="+mn-cs"/>
            </a:rPr>
            <a:t>Подобряване на свързаността и цифровизация на икономиката</a:t>
          </a:r>
        </a:p>
      </dgm:t>
    </dgm:pt>
    <dgm:pt modelId="{CEE21DBA-2C89-41ED-AC56-C62839EEE0C5}" type="parTrans" cxnId="{F63CC184-0C6B-48EF-99A9-6C44F8C7162D}">
      <dgm:prSet/>
      <dgm:spPr/>
      <dgm:t>
        <a:bodyPr/>
        <a:lstStyle/>
        <a:p>
          <a:endParaRPr lang="bg-BG"/>
        </a:p>
      </dgm:t>
    </dgm:pt>
    <dgm:pt modelId="{833FA7B5-A9BA-4037-86A4-9D6428786979}" type="sibTrans" cxnId="{F63CC184-0C6B-48EF-99A9-6C44F8C7162D}">
      <dgm:prSet/>
      <dgm:spPr/>
      <dgm:t>
        <a:bodyPr/>
        <a:lstStyle/>
        <a:p>
          <a:endParaRPr lang="bg-BG"/>
        </a:p>
      </dgm:t>
    </dgm:pt>
    <dgm:pt modelId="{B574DA99-B6F1-4A9E-AEE5-B436AD4FF129}">
      <dgm:prSet phldrT="[Text]"/>
      <dgm:spPr>
        <a:xfrm>
          <a:off x="0" y="2167328"/>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a:solidFill>
                <a:sysClr val="window" lastClr="FFFFFF"/>
              </a:solidFill>
              <a:latin typeface="Calibri"/>
              <a:ea typeface="+mn-ea"/>
              <a:cs typeface="+mn-cs"/>
            </a:rPr>
            <a:t> Цифрова инфраструктура</a:t>
          </a:r>
        </a:p>
      </dgm:t>
    </dgm:pt>
    <dgm:pt modelId="{3CE03AC7-9DEB-4304-927B-502BA5D94E44}" type="parTrans" cxnId="{BB4E3936-11C7-4DE9-9100-9A5EAC3FED2F}">
      <dgm:prSet/>
      <dgm:spPr/>
      <dgm:t>
        <a:bodyPr/>
        <a:lstStyle/>
        <a:p>
          <a:endParaRPr lang="bg-BG"/>
        </a:p>
      </dgm:t>
    </dgm:pt>
    <dgm:pt modelId="{1A2E4560-1B22-44C6-8882-983DA0F2B394}" type="sibTrans" cxnId="{BB4E3936-11C7-4DE9-9100-9A5EAC3FED2F}">
      <dgm:prSet/>
      <dgm:spPr/>
      <dgm:t>
        <a:bodyPr/>
        <a:lstStyle/>
        <a:p>
          <a:endParaRPr lang="bg-BG"/>
        </a:p>
      </dgm:t>
    </dgm:pt>
    <dgm:pt modelId="{843B64CE-A65D-42C4-BCAE-855C60ABC8BD}">
      <dgm:prSet phldrT="[Text]"/>
      <dgm:spPr>
        <a:xfrm>
          <a:off x="0" y="2167328"/>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a:solidFill>
                <a:sysClr val="window" lastClr="FFFFFF"/>
              </a:solidFill>
              <a:latin typeface="Calibri"/>
              <a:ea typeface="+mn-ea"/>
              <a:cs typeface="+mn-cs"/>
            </a:rPr>
            <a:t> Свързаност и достъпност</a:t>
          </a:r>
        </a:p>
      </dgm:t>
    </dgm:pt>
    <dgm:pt modelId="{E4F99729-89D7-440A-AD7E-58528C272150}" type="parTrans" cxnId="{4E1F684E-D3AE-4391-B615-B9A1615EC9E2}">
      <dgm:prSet/>
      <dgm:spPr/>
      <dgm:t>
        <a:bodyPr/>
        <a:lstStyle/>
        <a:p>
          <a:endParaRPr lang="bg-BG"/>
        </a:p>
      </dgm:t>
    </dgm:pt>
    <dgm:pt modelId="{7204216E-87B7-434D-A4C0-D0735F4EB310}" type="sibTrans" cxnId="{4E1F684E-D3AE-4391-B615-B9A1615EC9E2}">
      <dgm:prSet/>
      <dgm:spPr/>
      <dgm:t>
        <a:bodyPr/>
        <a:lstStyle/>
        <a:p>
          <a:endParaRPr lang="bg-BG"/>
        </a:p>
      </dgm:t>
    </dgm:pt>
    <dgm:pt modelId="{47DC43AF-9D05-415F-B760-24652293D226}">
      <dgm:prSet phldrT="[Text]"/>
      <dgm:spPr>
        <a:xfrm>
          <a:off x="0" y="3250992"/>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b="1">
              <a:solidFill>
                <a:sysClr val="window" lastClr="FFFFFF"/>
              </a:solidFill>
              <a:latin typeface="Calibri"/>
              <a:ea typeface="+mn-ea"/>
              <a:cs typeface="+mn-cs"/>
            </a:rPr>
            <a:t>Оползотворяване на местния потенциал</a:t>
          </a:r>
        </a:p>
      </dgm:t>
    </dgm:pt>
    <dgm:pt modelId="{20148C8F-ED12-44D1-BE52-76A8CCC70655}" type="parTrans" cxnId="{AE84EF48-8715-41C7-8DE0-686F0BBD3D72}">
      <dgm:prSet/>
      <dgm:spPr/>
      <dgm:t>
        <a:bodyPr/>
        <a:lstStyle/>
        <a:p>
          <a:endParaRPr lang="bg-BG"/>
        </a:p>
      </dgm:t>
    </dgm:pt>
    <dgm:pt modelId="{DC3A6F62-3125-4DA8-8332-9CF0D33C8325}" type="sibTrans" cxnId="{AE84EF48-8715-41C7-8DE0-686F0BBD3D72}">
      <dgm:prSet/>
      <dgm:spPr/>
      <dgm:t>
        <a:bodyPr/>
        <a:lstStyle/>
        <a:p>
          <a:endParaRPr lang="bg-BG"/>
        </a:p>
      </dgm:t>
    </dgm:pt>
    <dgm:pt modelId="{C0759711-E756-430C-A1CA-50789882BC23}">
      <dgm:prSet phldrT="[Text]"/>
      <dgm:spPr>
        <a:xfrm>
          <a:off x="0" y="3250992"/>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a:solidFill>
                <a:sysClr val="window" lastClr="FFFFFF"/>
              </a:solidFill>
              <a:latin typeface="Calibri"/>
              <a:ea typeface="+mn-ea"/>
              <a:cs typeface="+mn-cs"/>
            </a:rPr>
            <a:t> Туризъм</a:t>
          </a:r>
        </a:p>
      </dgm:t>
    </dgm:pt>
    <dgm:pt modelId="{8BC33E9C-DB47-44BF-BADE-8D781F40693D}" type="parTrans" cxnId="{D8CEA400-02C8-4A9D-B612-A06313D401CF}">
      <dgm:prSet/>
      <dgm:spPr/>
      <dgm:t>
        <a:bodyPr/>
        <a:lstStyle/>
        <a:p>
          <a:endParaRPr lang="bg-BG"/>
        </a:p>
      </dgm:t>
    </dgm:pt>
    <dgm:pt modelId="{761A9956-917A-4AD2-B337-B328B1BAA9C0}" type="sibTrans" cxnId="{D8CEA400-02C8-4A9D-B612-A06313D401CF}">
      <dgm:prSet/>
      <dgm:spPr/>
      <dgm:t>
        <a:bodyPr/>
        <a:lstStyle/>
        <a:p>
          <a:endParaRPr lang="bg-BG"/>
        </a:p>
      </dgm:t>
    </dgm:pt>
    <dgm:pt modelId="{66C9080D-E7E9-4F70-A7D7-32BC9EA46F52}">
      <dgm:prSet phldrT="[Text]"/>
      <dgm:spPr>
        <a:xfrm>
          <a:off x="0" y="3250992"/>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a:solidFill>
                <a:sysClr val="window" lastClr="FFFFFF"/>
              </a:solidFill>
              <a:latin typeface="Calibri"/>
              <a:ea typeface="+mn-ea"/>
              <a:cs typeface="+mn-cs"/>
            </a:rPr>
            <a:t> Екологична инфраструктура</a:t>
          </a:r>
        </a:p>
      </dgm:t>
    </dgm:pt>
    <dgm:pt modelId="{08023964-0D6C-4D28-9F62-6B897DC4818B}" type="parTrans" cxnId="{B653879E-7F86-4A77-A1ED-22419FF5B1AB}">
      <dgm:prSet/>
      <dgm:spPr/>
      <dgm:t>
        <a:bodyPr/>
        <a:lstStyle/>
        <a:p>
          <a:endParaRPr lang="bg-BG"/>
        </a:p>
      </dgm:t>
    </dgm:pt>
    <dgm:pt modelId="{596AABF8-1FF9-476A-894D-F9C8760E8A45}" type="sibTrans" cxnId="{B653879E-7F86-4A77-A1ED-22419FF5B1AB}">
      <dgm:prSet/>
      <dgm:spPr/>
      <dgm:t>
        <a:bodyPr/>
        <a:lstStyle/>
        <a:p>
          <a:endParaRPr lang="bg-BG"/>
        </a:p>
      </dgm:t>
    </dgm:pt>
    <dgm:pt modelId="{D9718AC7-5D35-44D0-94E6-C40BA6D72FE2}">
      <dgm:prSet phldrT="[Text]"/>
      <dgm:spPr>
        <a:xfrm>
          <a:off x="0" y="1083664"/>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b="1">
              <a:solidFill>
                <a:sysClr val="window" lastClr="FFFFFF"/>
              </a:solidFill>
              <a:latin typeface="Calibri"/>
              <a:ea typeface="+mn-ea"/>
              <a:cs typeface="+mn-cs"/>
            </a:rPr>
            <a:t>Образование и обучение за високо квалифицирана работна сила</a:t>
          </a:r>
        </a:p>
      </dgm:t>
    </dgm:pt>
    <dgm:pt modelId="{71233DBD-DE35-486E-AA71-6548DD8C0C37}" type="sibTrans" cxnId="{8D67A200-F71A-48E6-886D-89430ADAE7CF}">
      <dgm:prSet/>
      <dgm:spPr/>
      <dgm:t>
        <a:bodyPr/>
        <a:lstStyle/>
        <a:p>
          <a:endParaRPr lang="bg-BG"/>
        </a:p>
      </dgm:t>
    </dgm:pt>
    <dgm:pt modelId="{E19C7CE1-1528-43F0-98D5-D766B4626C95}" type="parTrans" cxnId="{8D67A200-F71A-48E6-886D-89430ADAE7CF}">
      <dgm:prSet/>
      <dgm:spPr/>
      <dgm:t>
        <a:bodyPr/>
        <a:lstStyle/>
        <a:p>
          <a:endParaRPr lang="bg-BG"/>
        </a:p>
      </dgm:t>
    </dgm:pt>
    <dgm:pt modelId="{164BE6EC-492D-4B03-B0B2-70BCED1ED5B9}">
      <dgm:prSet phldrT="[Text]"/>
      <dgm:spPr>
        <a:xfrm>
          <a:off x="0" y="0"/>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b="1">
              <a:solidFill>
                <a:sysClr val="window" lastClr="FFFFFF"/>
              </a:solidFill>
              <a:latin typeface="Calibri"/>
              <a:ea typeface="+mn-ea"/>
              <a:cs typeface="+mn-cs"/>
            </a:rPr>
            <a:t>Наука и иновации за конкурентоспособност</a:t>
          </a:r>
          <a:r>
            <a:rPr lang="bg-BG">
              <a:solidFill>
                <a:sysClr val="window" lastClr="FFFFFF"/>
              </a:solidFill>
              <a:latin typeface="Calibri"/>
              <a:ea typeface="+mn-ea"/>
              <a:cs typeface="+mn-cs"/>
            </a:rPr>
            <a:t> </a:t>
          </a:r>
          <a:endParaRPr lang="bg-BG" b="1">
            <a:solidFill>
              <a:sysClr val="window" lastClr="FFFFFF"/>
            </a:solidFill>
            <a:latin typeface="Calibri"/>
            <a:ea typeface="+mn-ea"/>
            <a:cs typeface="+mn-cs"/>
          </a:endParaRPr>
        </a:p>
      </dgm:t>
    </dgm:pt>
    <dgm:pt modelId="{031D12F7-1474-4055-8BD0-06D8369FF357}" type="sibTrans" cxnId="{3A563ACC-7062-4FE6-B7AA-EC042F41FD3F}">
      <dgm:prSet/>
      <dgm:spPr/>
      <dgm:t>
        <a:bodyPr/>
        <a:lstStyle/>
        <a:p>
          <a:endParaRPr lang="bg-BG"/>
        </a:p>
      </dgm:t>
    </dgm:pt>
    <dgm:pt modelId="{FBED2554-EAAE-443A-A437-E1879AF08ED6}" type="parTrans" cxnId="{3A563ACC-7062-4FE6-B7AA-EC042F41FD3F}">
      <dgm:prSet/>
      <dgm:spPr/>
      <dgm:t>
        <a:bodyPr/>
        <a:lstStyle/>
        <a:p>
          <a:endParaRPr lang="bg-BG"/>
        </a:p>
      </dgm:t>
    </dgm:pt>
    <dgm:pt modelId="{5B040494-5DA3-4D6D-9865-9E31FB313915}">
      <dgm:prSet phldrT="[Text]"/>
      <dgm:spPr>
        <a:xfrm>
          <a:off x="0" y="2167328"/>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a:solidFill>
                <a:sysClr val="window" lastClr="FFFFFF"/>
              </a:solidFill>
              <a:latin typeface="Calibri"/>
              <a:ea typeface="+mn-ea"/>
              <a:cs typeface="+mn-cs"/>
            </a:rPr>
            <a:t> Електронно управление</a:t>
          </a:r>
        </a:p>
      </dgm:t>
    </dgm:pt>
    <dgm:pt modelId="{47F0D825-2DAA-4265-B76B-717FEC48D258}" type="parTrans" cxnId="{C6713AE2-4B29-45AB-8BFA-5B374D2CDA28}">
      <dgm:prSet/>
      <dgm:spPr/>
      <dgm:t>
        <a:bodyPr/>
        <a:lstStyle/>
        <a:p>
          <a:endParaRPr lang="bg-BG"/>
        </a:p>
      </dgm:t>
    </dgm:pt>
    <dgm:pt modelId="{22D49162-6F67-4A25-89CF-BAB513752EC9}" type="sibTrans" cxnId="{C6713AE2-4B29-45AB-8BFA-5B374D2CDA28}">
      <dgm:prSet/>
      <dgm:spPr/>
      <dgm:t>
        <a:bodyPr/>
        <a:lstStyle/>
        <a:p>
          <a:endParaRPr lang="bg-BG"/>
        </a:p>
      </dgm:t>
    </dgm:pt>
    <dgm:pt modelId="{C2090A95-56F0-4DC7-A3EC-FA9B0C779630}">
      <dgm:prSet phldrT="[Text]"/>
      <dgm:spPr>
        <a:xfrm>
          <a:off x="0" y="3250992"/>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a:solidFill>
                <a:sysClr val="window" lastClr="FFFFFF"/>
              </a:solidFill>
              <a:latin typeface="Calibri"/>
              <a:ea typeface="+mn-ea"/>
              <a:cs typeface="+mn-cs"/>
            </a:rPr>
            <a:t> Социална инфраструктура</a:t>
          </a:r>
        </a:p>
      </dgm:t>
    </dgm:pt>
    <dgm:pt modelId="{D280B13E-E378-4320-B530-E1FE4FDAB8C2}" type="parTrans" cxnId="{636B3221-2974-4C8F-9D8F-8682256CA2EC}">
      <dgm:prSet/>
      <dgm:spPr/>
      <dgm:t>
        <a:bodyPr/>
        <a:lstStyle/>
        <a:p>
          <a:endParaRPr lang="bg-BG"/>
        </a:p>
      </dgm:t>
    </dgm:pt>
    <dgm:pt modelId="{FAA434AD-C419-4F24-83D2-687251D89043}" type="sibTrans" cxnId="{636B3221-2974-4C8F-9D8F-8682256CA2EC}">
      <dgm:prSet/>
      <dgm:spPr/>
      <dgm:t>
        <a:bodyPr/>
        <a:lstStyle/>
        <a:p>
          <a:endParaRPr lang="bg-BG"/>
        </a:p>
      </dgm:t>
    </dgm:pt>
    <dgm:pt modelId="{3C79FEE7-F556-4334-AF16-58047E0D0223}">
      <dgm:prSet phldrT="[Text]"/>
      <dgm:spPr>
        <a:xfrm>
          <a:off x="0" y="1083664"/>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a:solidFill>
                <a:sysClr val="window" lastClr="FFFFFF"/>
              </a:solidFill>
              <a:latin typeface="Calibri"/>
              <a:ea typeface="+mn-ea"/>
              <a:cs typeface="+mn-cs"/>
            </a:rPr>
            <a:t> Повишаване на уменията</a:t>
          </a:r>
        </a:p>
      </dgm:t>
    </dgm:pt>
    <dgm:pt modelId="{2EA7C680-73C4-488E-9634-A299DB9D6130}" type="sibTrans" cxnId="{7A84CEDC-9409-499B-9C0B-DFC355A0DDA1}">
      <dgm:prSet/>
      <dgm:spPr/>
      <dgm:t>
        <a:bodyPr/>
        <a:lstStyle/>
        <a:p>
          <a:endParaRPr lang="bg-BG"/>
        </a:p>
      </dgm:t>
    </dgm:pt>
    <dgm:pt modelId="{F8CEF8C7-656A-4EF3-A8C7-4C32BDFE571B}" type="parTrans" cxnId="{7A84CEDC-9409-499B-9C0B-DFC355A0DDA1}">
      <dgm:prSet/>
      <dgm:spPr/>
      <dgm:t>
        <a:bodyPr/>
        <a:lstStyle/>
        <a:p>
          <a:endParaRPr lang="bg-BG"/>
        </a:p>
      </dgm:t>
    </dgm:pt>
    <dgm:pt modelId="{83D0454F-1385-428B-9B9A-33711F18420F}">
      <dgm:prSet/>
      <dgm:spPr/>
      <dgm:t>
        <a:bodyPr/>
        <a:lstStyle/>
        <a:p>
          <a:r>
            <a:rPr lang="bg-BG">
              <a:solidFill>
                <a:sysClr val="window" lastClr="FFFFFF"/>
              </a:solidFill>
              <a:latin typeface="Calibri"/>
              <a:ea typeface="+mn-ea"/>
              <a:cs typeface="+mn-cs"/>
            </a:rPr>
            <a:t> Стимулиране на иновациите в предприятията</a:t>
          </a:r>
        </a:p>
      </dgm:t>
    </dgm:pt>
    <dgm:pt modelId="{16E2D23A-87F6-4DF8-BD9A-375076DDD7F4}" type="parTrans" cxnId="{1648CE25-6553-401E-9268-858DD8E34821}">
      <dgm:prSet/>
      <dgm:spPr/>
      <dgm:t>
        <a:bodyPr/>
        <a:lstStyle/>
        <a:p>
          <a:endParaRPr lang="bg-BG"/>
        </a:p>
      </dgm:t>
    </dgm:pt>
    <dgm:pt modelId="{9CA12DE2-AF4D-4DA3-B396-1092C564A054}" type="sibTrans" cxnId="{1648CE25-6553-401E-9268-858DD8E34821}">
      <dgm:prSet/>
      <dgm:spPr/>
      <dgm:t>
        <a:bodyPr/>
        <a:lstStyle/>
        <a:p>
          <a:endParaRPr lang="bg-BG"/>
        </a:p>
      </dgm:t>
    </dgm:pt>
    <dgm:pt modelId="{1B186604-0407-4EEE-AFEE-64B76380F753}">
      <dgm:prSet/>
      <dgm:spPr/>
      <dgm:t>
        <a:bodyPr/>
        <a:lstStyle/>
        <a:p>
          <a:endParaRPr lang="bg-BG">
            <a:solidFill>
              <a:sysClr val="window" lastClr="FFFFFF"/>
            </a:solidFill>
            <a:latin typeface="Calibri"/>
            <a:ea typeface="+mn-ea"/>
            <a:cs typeface="+mn-cs"/>
          </a:endParaRPr>
        </a:p>
      </dgm:t>
    </dgm:pt>
    <dgm:pt modelId="{2F1AEA7A-9126-40BE-9E82-679E3D614100}" type="parTrans" cxnId="{DE32B9DE-5A7D-4A91-98A8-BABA35393219}">
      <dgm:prSet/>
      <dgm:spPr/>
      <dgm:t>
        <a:bodyPr/>
        <a:lstStyle/>
        <a:p>
          <a:endParaRPr lang="bg-BG"/>
        </a:p>
      </dgm:t>
    </dgm:pt>
    <dgm:pt modelId="{ACBD81B7-EFB4-41DA-BEBE-1E9426CD196D}" type="sibTrans" cxnId="{DE32B9DE-5A7D-4A91-98A8-BABA35393219}">
      <dgm:prSet/>
      <dgm:spPr/>
      <dgm:t>
        <a:bodyPr/>
        <a:lstStyle/>
        <a:p>
          <a:endParaRPr lang="bg-BG"/>
        </a:p>
      </dgm:t>
    </dgm:pt>
    <dgm:pt modelId="{6FF1811B-DE6A-4A7D-BAB2-0D335BF50FCA}">
      <dgm:prSet phldrT="[Text]"/>
      <dgm:spPr>
        <a:xfrm>
          <a:off x="0" y="1083664"/>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a:solidFill>
                <a:sysClr val="window" lastClr="FFFFFF"/>
              </a:solidFill>
              <a:latin typeface="Calibri"/>
              <a:ea typeface="+mn-ea"/>
              <a:cs typeface="+mn-cs"/>
            </a:rPr>
            <a:t> Включване в заетост</a:t>
          </a:r>
        </a:p>
      </dgm:t>
    </dgm:pt>
    <dgm:pt modelId="{1D8AA770-A1F0-4109-8094-0BED8EA8524F}" type="parTrans" cxnId="{EAE490AF-B8E5-44EC-B6DE-97EF26CF715D}">
      <dgm:prSet/>
      <dgm:spPr/>
      <dgm:t>
        <a:bodyPr/>
        <a:lstStyle/>
        <a:p>
          <a:endParaRPr lang="bg-BG"/>
        </a:p>
      </dgm:t>
    </dgm:pt>
    <dgm:pt modelId="{F4D6B144-F427-49A3-A8EB-6A3986127DC1}" type="sibTrans" cxnId="{EAE490AF-B8E5-44EC-B6DE-97EF26CF715D}">
      <dgm:prSet/>
      <dgm:spPr/>
      <dgm:t>
        <a:bodyPr/>
        <a:lstStyle/>
        <a:p>
          <a:endParaRPr lang="bg-BG"/>
        </a:p>
      </dgm:t>
    </dgm:pt>
    <dgm:pt modelId="{BCFAD3DB-6D1A-4361-9CD7-C07B17FADD41}">
      <dgm:prSet phldrT="[Text]"/>
      <dgm:spPr>
        <a:xfrm>
          <a:off x="0" y="1083664"/>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bg-BG">
              <a:solidFill>
                <a:sysClr val="window" lastClr="FFFFFF"/>
              </a:solidFill>
              <a:latin typeface="Calibri"/>
              <a:ea typeface="+mn-ea"/>
              <a:cs typeface="+mn-cs"/>
            </a:rPr>
            <a:t> Подобряване на здравните характеристики на работната сила</a:t>
          </a:r>
        </a:p>
      </dgm:t>
    </dgm:pt>
    <dgm:pt modelId="{5606D211-B036-4749-ABF1-F3CCB3A604F8}" type="parTrans" cxnId="{26B4194C-D9A3-40BE-A980-3A98922A9D9F}">
      <dgm:prSet/>
      <dgm:spPr/>
      <dgm:t>
        <a:bodyPr/>
        <a:lstStyle/>
        <a:p>
          <a:endParaRPr lang="bg-BG"/>
        </a:p>
      </dgm:t>
    </dgm:pt>
    <dgm:pt modelId="{A7DE9811-997E-43F0-BA25-DBA5FAC5EC9A}" type="sibTrans" cxnId="{26B4194C-D9A3-40BE-A980-3A98922A9D9F}">
      <dgm:prSet/>
      <dgm:spPr/>
      <dgm:t>
        <a:bodyPr/>
        <a:lstStyle/>
        <a:p>
          <a:endParaRPr lang="bg-BG"/>
        </a:p>
      </dgm:t>
    </dgm:pt>
    <dgm:pt modelId="{88AE32BD-5CCD-4EF5-A9FA-0C1CF0E41DC0}">
      <dgm:prSet phldrT="[Text]"/>
      <dgm:spPr>
        <a:xfrm>
          <a:off x="0" y="1083664"/>
          <a:ext cx="4086224" cy="985149"/>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bg-BG">
            <a:solidFill>
              <a:sysClr val="window" lastClr="FFFFFF"/>
            </a:solidFill>
            <a:latin typeface="Calibri"/>
            <a:ea typeface="+mn-ea"/>
            <a:cs typeface="+mn-cs"/>
          </a:endParaRPr>
        </a:p>
      </dgm:t>
    </dgm:pt>
    <dgm:pt modelId="{4F2129A3-3FED-4AEA-95AE-5BC859C0734C}" type="parTrans" cxnId="{1E48F8E3-1051-4F38-8183-6E48FC3DE431}">
      <dgm:prSet/>
      <dgm:spPr/>
      <dgm:t>
        <a:bodyPr/>
        <a:lstStyle/>
        <a:p>
          <a:endParaRPr lang="bg-BG"/>
        </a:p>
      </dgm:t>
    </dgm:pt>
    <dgm:pt modelId="{FC99CDC1-2FA7-4E61-AE2F-489F9F7FFC52}" type="sibTrans" cxnId="{1E48F8E3-1051-4F38-8183-6E48FC3DE431}">
      <dgm:prSet/>
      <dgm:spPr/>
      <dgm:t>
        <a:bodyPr/>
        <a:lstStyle/>
        <a:p>
          <a:endParaRPr lang="bg-BG"/>
        </a:p>
      </dgm:t>
    </dgm:pt>
    <dgm:pt modelId="{D4E42428-ACCF-4654-B1E0-15193BD66830}">
      <dgm:prSet/>
      <dgm:spPr/>
      <dgm:t>
        <a:bodyPr/>
        <a:lstStyle/>
        <a:p>
          <a:r>
            <a:rPr lang="bg-BG">
              <a:solidFill>
                <a:sysClr val="window" lastClr="FFFFFF"/>
              </a:solidFill>
              <a:latin typeface="Calibri"/>
              <a:ea typeface="+mn-ea"/>
              <a:cs typeface="+mn-cs"/>
            </a:rPr>
            <a:t> НИРД и научна инфраструктура</a:t>
          </a:r>
        </a:p>
      </dgm:t>
    </dgm:pt>
    <dgm:pt modelId="{C7434629-2D17-4DF4-9758-D2F834DFE1B3}" type="sibTrans" cxnId="{74786558-0DC0-4130-B41A-AA30B51A039A}">
      <dgm:prSet/>
      <dgm:spPr/>
      <dgm:t>
        <a:bodyPr/>
        <a:lstStyle/>
        <a:p>
          <a:endParaRPr lang="bg-BG"/>
        </a:p>
      </dgm:t>
    </dgm:pt>
    <dgm:pt modelId="{906AB59C-4207-428E-BF13-1D9C199EAF91}" type="parTrans" cxnId="{74786558-0DC0-4130-B41A-AA30B51A039A}">
      <dgm:prSet/>
      <dgm:spPr/>
      <dgm:t>
        <a:bodyPr/>
        <a:lstStyle/>
        <a:p>
          <a:endParaRPr lang="bg-BG"/>
        </a:p>
      </dgm:t>
    </dgm:pt>
    <dgm:pt modelId="{4F7F243A-22A8-48D4-B42E-35CEC854C706}" type="pres">
      <dgm:prSet presAssocID="{29D35207-1A63-4618-A468-796412A7633E}" presName="linear" presStyleCnt="0">
        <dgm:presLayoutVars>
          <dgm:dir/>
          <dgm:resizeHandles val="exact"/>
        </dgm:presLayoutVars>
      </dgm:prSet>
      <dgm:spPr/>
      <dgm:t>
        <a:bodyPr/>
        <a:lstStyle/>
        <a:p>
          <a:endParaRPr lang="bg-BG"/>
        </a:p>
      </dgm:t>
    </dgm:pt>
    <dgm:pt modelId="{8A6B06F4-A369-430F-A482-D6CD7DC1E9A4}" type="pres">
      <dgm:prSet presAssocID="{164BE6EC-492D-4B03-B0B2-70BCED1ED5B9}" presName="comp" presStyleCnt="0"/>
      <dgm:spPr/>
    </dgm:pt>
    <dgm:pt modelId="{EEA252F6-6627-4EE0-81A0-6D369B53BD7C}" type="pres">
      <dgm:prSet presAssocID="{164BE6EC-492D-4B03-B0B2-70BCED1ED5B9}" presName="box" presStyleLbl="node1" presStyleIdx="0" presStyleCnt="4"/>
      <dgm:spPr>
        <a:prstGeom prst="roundRect">
          <a:avLst>
            <a:gd name="adj" fmla="val 10000"/>
          </a:avLst>
        </a:prstGeom>
      </dgm:spPr>
      <dgm:t>
        <a:bodyPr/>
        <a:lstStyle/>
        <a:p>
          <a:endParaRPr lang="bg-BG"/>
        </a:p>
      </dgm:t>
    </dgm:pt>
    <dgm:pt modelId="{F3ED50CC-6A92-4BD1-A450-DB93AA77D41B}" type="pres">
      <dgm:prSet presAssocID="{164BE6EC-492D-4B03-B0B2-70BCED1ED5B9}" presName="img" presStyleLbl="fgImgPlace1" presStyleIdx="0" presStyleCnt="4"/>
      <dgm:spPr>
        <a:xfrm>
          <a:off x="98514" y="98514"/>
          <a:ext cx="817245" cy="788119"/>
        </a:xfrm>
        <a:prstGeom prst="roundRect">
          <a:avLst>
            <a:gd name="adj" fmla="val 10000"/>
          </a:avLst>
        </a:prstGeom>
        <a:blipFill rotWithShape="1">
          <a:blip xmlns:r="http://schemas.openxmlformats.org/officeDocument/2006/relationships" r:embed="rId1"/>
          <a:stretch>
            <a:fillRect/>
          </a:stretch>
        </a:blipFill>
        <a:ln w="25400" cap="flat" cmpd="sng" algn="ctr">
          <a:solidFill>
            <a:sysClr val="window" lastClr="FFFFFF">
              <a:hueOff val="0"/>
              <a:satOff val="0"/>
              <a:lumOff val="0"/>
              <a:alphaOff val="0"/>
            </a:sysClr>
          </a:solidFill>
          <a:prstDash val="solid"/>
        </a:ln>
        <a:effectLst/>
      </dgm:spPr>
      <dgm:t>
        <a:bodyPr/>
        <a:lstStyle/>
        <a:p>
          <a:endParaRPr lang="bg-BG"/>
        </a:p>
      </dgm:t>
    </dgm:pt>
    <dgm:pt modelId="{A769ED9E-0B72-4E8C-AFE4-9E4B71710773}" type="pres">
      <dgm:prSet presAssocID="{164BE6EC-492D-4B03-B0B2-70BCED1ED5B9}" presName="text" presStyleLbl="node1" presStyleIdx="0" presStyleCnt="4">
        <dgm:presLayoutVars>
          <dgm:bulletEnabled val="1"/>
        </dgm:presLayoutVars>
      </dgm:prSet>
      <dgm:spPr/>
      <dgm:t>
        <a:bodyPr/>
        <a:lstStyle/>
        <a:p>
          <a:endParaRPr lang="bg-BG"/>
        </a:p>
      </dgm:t>
    </dgm:pt>
    <dgm:pt modelId="{6353DF04-23EE-4EA3-853E-D9B1FB66AF12}" type="pres">
      <dgm:prSet presAssocID="{031D12F7-1474-4055-8BD0-06D8369FF357}" presName="spacer" presStyleCnt="0"/>
      <dgm:spPr/>
    </dgm:pt>
    <dgm:pt modelId="{64414B46-A6FD-459C-8FCA-918D61738F88}" type="pres">
      <dgm:prSet presAssocID="{D9718AC7-5D35-44D0-94E6-C40BA6D72FE2}" presName="comp" presStyleCnt="0"/>
      <dgm:spPr/>
    </dgm:pt>
    <dgm:pt modelId="{19AC9FC7-C528-44DB-B9E0-03AB86454781}" type="pres">
      <dgm:prSet presAssocID="{D9718AC7-5D35-44D0-94E6-C40BA6D72FE2}" presName="box" presStyleLbl="node1" presStyleIdx="1" presStyleCnt="4"/>
      <dgm:spPr>
        <a:prstGeom prst="roundRect">
          <a:avLst>
            <a:gd name="adj" fmla="val 10000"/>
          </a:avLst>
        </a:prstGeom>
      </dgm:spPr>
      <dgm:t>
        <a:bodyPr/>
        <a:lstStyle/>
        <a:p>
          <a:endParaRPr lang="bg-BG"/>
        </a:p>
      </dgm:t>
    </dgm:pt>
    <dgm:pt modelId="{08C72B9C-3DE3-4B61-850D-63DAA2AEFF61}" type="pres">
      <dgm:prSet presAssocID="{D9718AC7-5D35-44D0-94E6-C40BA6D72FE2}" presName="img" presStyleLbl="fgImgPlace1" presStyleIdx="1" presStyleCnt="4"/>
      <dgm:spPr>
        <a:xfrm>
          <a:off x="98514" y="1182179"/>
          <a:ext cx="817245" cy="788119"/>
        </a:xfrm>
        <a:prstGeom prst="roundRect">
          <a:avLst>
            <a:gd name="adj" fmla="val 10000"/>
          </a:avLst>
        </a:prstGeom>
        <a:blipFill rotWithShape="1">
          <a:blip xmlns:r="http://schemas.openxmlformats.org/officeDocument/2006/relationships" r:embed="rId2"/>
          <a:stretch>
            <a:fillRect/>
          </a:stretch>
        </a:blipFill>
        <a:ln w="25400" cap="flat" cmpd="sng" algn="ctr">
          <a:solidFill>
            <a:sysClr val="window" lastClr="FFFFFF">
              <a:hueOff val="0"/>
              <a:satOff val="0"/>
              <a:lumOff val="0"/>
              <a:alphaOff val="0"/>
            </a:sysClr>
          </a:solidFill>
          <a:prstDash val="solid"/>
        </a:ln>
        <a:effectLst/>
      </dgm:spPr>
      <dgm:t>
        <a:bodyPr/>
        <a:lstStyle/>
        <a:p>
          <a:endParaRPr lang="bg-BG"/>
        </a:p>
      </dgm:t>
    </dgm:pt>
    <dgm:pt modelId="{0FDC3E66-EFCC-468E-ABEF-892666381A8D}" type="pres">
      <dgm:prSet presAssocID="{D9718AC7-5D35-44D0-94E6-C40BA6D72FE2}" presName="text" presStyleLbl="node1" presStyleIdx="1" presStyleCnt="4">
        <dgm:presLayoutVars>
          <dgm:bulletEnabled val="1"/>
        </dgm:presLayoutVars>
      </dgm:prSet>
      <dgm:spPr/>
      <dgm:t>
        <a:bodyPr/>
        <a:lstStyle/>
        <a:p>
          <a:endParaRPr lang="bg-BG"/>
        </a:p>
      </dgm:t>
    </dgm:pt>
    <dgm:pt modelId="{56E92E6D-F1EB-499E-9D6A-5A46AE7CED28}" type="pres">
      <dgm:prSet presAssocID="{71233DBD-DE35-486E-AA71-6548DD8C0C37}" presName="spacer" presStyleCnt="0"/>
      <dgm:spPr/>
    </dgm:pt>
    <dgm:pt modelId="{7CC950B8-4A91-4D75-9A1D-770E32617B53}" type="pres">
      <dgm:prSet presAssocID="{2F0794EB-CFCF-40C9-95D4-5F222F9E2B7A}" presName="comp" presStyleCnt="0"/>
      <dgm:spPr/>
    </dgm:pt>
    <dgm:pt modelId="{851E38C7-4CC5-4C35-B15A-C09D89BEF5A9}" type="pres">
      <dgm:prSet presAssocID="{2F0794EB-CFCF-40C9-95D4-5F222F9E2B7A}" presName="box" presStyleLbl="node1" presStyleIdx="2" presStyleCnt="4"/>
      <dgm:spPr>
        <a:prstGeom prst="roundRect">
          <a:avLst>
            <a:gd name="adj" fmla="val 10000"/>
          </a:avLst>
        </a:prstGeom>
      </dgm:spPr>
      <dgm:t>
        <a:bodyPr/>
        <a:lstStyle/>
        <a:p>
          <a:endParaRPr lang="bg-BG"/>
        </a:p>
      </dgm:t>
    </dgm:pt>
    <dgm:pt modelId="{1B780BDB-6075-4933-856D-E70367EB8D67}" type="pres">
      <dgm:prSet presAssocID="{2F0794EB-CFCF-40C9-95D4-5F222F9E2B7A}" presName="img" presStyleLbl="fgImgPlace1" presStyleIdx="2" presStyleCnt="4"/>
      <dgm:spPr>
        <a:xfrm>
          <a:off x="98514" y="2265843"/>
          <a:ext cx="817245" cy="788119"/>
        </a:xfrm>
        <a:prstGeom prst="roundRect">
          <a:avLst>
            <a:gd name="adj" fmla="val 10000"/>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a:stretch>
        </a:blipFill>
        <a:ln w="25400" cap="flat" cmpd="sng" algn="ctr">
          <a:solidFill>
            <a:sysClr val="window" lastClr="FFFFFF">
              <a:hueOff val="0"/>
              <a:satOff val="0"/>
              <a:lumOff val="0"/>
              <a:alphaOff val="0"/>
            </a:sysClr>
          </a:solidFill>
          <a:prstDash val="solid"/>
        </a:ln>
        <a:effectLst/>
      </dgm:spPr>
      <dgm:t>
        <a:bodyPr/>
        <a:lstStyle/>
        <a:p>
          <a:endParaRPr lang="bg-BG"/>
        </a:p>
      </dgm:t>
    </dgm:pt>
    <dgm:pt modelId="{B76097D7-1664-4567-B82C-08B755A5D123}" type="pres">
      <dgm:prSet presAssocID="{2F0794EB-CFCF-40C9-95D4-5F222F9E2B7A}" presName="text" presStyleLbl="node1" presStyleIdx="2" presStyleCnt="4">
        <dgm:presLayoutVars>
          <dgm:bulletEnabled val="1"/>
        </dgm:presLayoutVars>
      </dgm:prSet>
      <dgm:spPr/>
      <dgm:t>
        <a:bodyPr/>
        <a:lstStyle/>
        <a:p>
          <a:endParaRPr lang="bg-BG"/>
        </a:p>
      </dgm:t>
    </dgm:pt>
    <dgm:pt modelId="{DCCE6B48-4EE7-4609-9C74-EA1B927FF295}" type="pres">
      <dgm:prSet presAssocID="{833FA7B5-A9BA-4037-86A4-9D6428786979}" presName="spacer" presStyleCnt="0"/>
      <dgm:spPr/>
    </dgm:pt>
    <dgm:pt modelId="{E86D3C9B-500E-4DD7-875A-1E7ABAF59F82}" type="pres">
      <dgm:prSet presAssocID="{47DC43AF-9D05-415F-B760-24652293D226}" presName="comp" presStyleCnt="0"/>
      <dgm:spPr/>
    </dgm:pt>
    <dgm:pt modelId="{2EEF68EE-3BEA-4FDD-A42F-41878FFD1968}" type="pres">
      <dgm:prSet presAssocID="{47DC43AF-9D05-415F-B760-24652293D226}" presName="box" presStyleLbl="node1" presStyleIdx="3" presStyleCnt="4"/>
      <dgm:spPr>
        <a:prstGeom prst="roundRect">
          <a:avLst>
            <a:gd name="adj" fmla="val 10000"/>
          </a:avLst>
        </a:prstGeom>
      </dgm:spPr>
      <dgm:t>
        <a:bodyPr/>
        <a:lstStyle/>
        <a:p>
          <a:endParaRPr lang="bg-BG"/>
        </a:p>
      </dgm:t>
    </dgm:pt>
    <dgm:pt modelId="{2CDD6EC6-95CD-412E-A016-B8E33284663A}" type="pres">
      <dgm:prSet presAssocID="{47DC43AF-9D05-415F-B760-24652293D226}" presName="img" presStyleLbl="fgImgPlace1" presStyleIdx="3" presStyleCnt="4"/>
      <dgm:spPr>
        <a:xfrm>
          <a:off x="98514" y="3349507"/>
          <a:ext cx="817245" cy="788119"/>
        </a:xfrm>
        <a:prstGeom prst="roundRect">
          <a:avLst>
            <a:gd name="adj" fmla="val 10000"/>
          </a:avLst>
        </a:prstGeom>
        <a:blipFill>
          <a:blip xmlns:r="http://schemas.openxmlformats.org/officeDocument/2006/relationships" r:embed="rId4" cstate="print">
            <a:extLst>
              <a:ext uri="{28A0092B-C50C-407E-A947-70E740481C1C}">
                <a14:useLocalDpi xmlns:a14="http://schemas.microsoft.com/office/drawing/2010/main" val="0"/>
              </a:ext>
            </a:extLst>
          </a:blip>
          <a:srcRect/>
          <a:stretch>
            <a:fillRect/>
          </a:stretch>
        </a:blipFill>
        <a:ln w="25400" cap="flat" cmpd="sng" algn="ctr">
          <a:solidFill>
            <a:sysClr val="window" lastClr="FFFFFF">
              <a:hueOff val="0"/>
              <a:satOff val="0"/>
              <a:lumOff val="0"/>
              <a:alphaOff val="0"/>
            </a:sysClr>
          </a:solidFill>
          <a:prstDash val="solid"/>
        </a:ln>
        <a:effectLst/>
      </dgm:spPr>
      <dgm:t>
        <a:bodyPr/>
        <a:lstStyle/>
        <a:p>
          <a:endParaRPr lang="bg-BG"/>
        </a:p>
      </dgm:t>
    </dgm:pt>
    <dgm:pt modelId="{43FD74CB-11B7-4667-B48D-FACBA01F11CD}" type="pres">
      <dgm:prSet presAssocID="{47DC43AF-9D05-415F-B760-24652293D226}" presName="text" presStyleLbl="node1" presStyleIdx="3" presStyleCnt="4">
        <dgm:presLayoutVars>
          <dgm:bulletEnabled val="1"/>
        </dgm:presLayoutVars>
      </dgm:prSet>
      <dgm:spPr/>
      <dgm:t>
        <a:bodyPr/>
        <a:lstStyle/>
        <a:p>
          <a:endParaRPr lang="bg-BG"/>
        </a:p>
      </dgm:t>
    </dgm:pt>
  </dgm:ptLst>
  <dgm:cxnLst>
    <dgm:cxn modelId="{57E4A4DB-82C4-4B05-AC10-DF7610374370}" type="presOf" srcId="{83D0454F-1385-428B-9B9A-33711F18420F}" destId="{A769ED9E-0B72-4E8C-AFE4-9E4B71710773}" srcOrd="1" destOrd="2" presId="urn:microsoft.com/office/officeart/2005/8/layout/vList4"/>
    <dgm:cxn modelId="{FD794B51-E37D-44D3-A437-022287C8E1C6}" type="presOf" srcId="{C0759711-E756-430C-A1CA-50789882BC23}" destId="{2EEF68EE-3BEA-4FDD-A42F-41878FFD1968}" srcOrd="0" destOrd="1" presId="urn:microsoft.com/office/officeart/2005/8/layout/vList4"/>
    <dgm:cxn modelId="{D67C91CB-A9F9-423C-AEE4-2496AF23DED4}" type="presOf" srcId="{66C9080D-E7E9-4F70-A7D7-32BC9EA46F52}" destId="{2EEF68EE-3BEA-4FDD-A42F-41878FFD1968}" srcOrd="0" destOrd="2" presId="urn:microsoft.com/office/officeart/2005/8/layout/vList4"/>
    <dgm:cxn modelId="{4AB8001A-1439-4CB6-BED6-299E19EE9DC6}" type="presOf" srcId="{BCFAD3DB-6D1A-4361-9CD7-C07B17FADD41}" destId="{19AC9FC7-C528-44DB-B9E0-03AB86454781}" srcOrd="0" destOrd="3" presId="urn:microsoft.com/office/officeart/2005/8/layout/vList4"/>
    <dgm:cxn modelId="{4EE88DCF-B3BC-4DE9-99DA-CEE6D1590C3D}" type="presOf" srcId="{1B186604-0407-4EEE-AFEE-64B76380F753}" destId="{EEA252F6-6627-4EE0-81A0-6D369B53BD7C}" srcOrd="0" destOrd="3" presId="urn:microsoft.com/office/officeart/2005/8/layout/vList4"/>
    <dgm:cxn modelId="{74052245-EAD9-43FD-BEA5-7E2044437CFF}" type="presOf" srcId="{BCFAD3DB-6D1A-4361-9CD7-C07B17FADD41}" destId="{0FDC3E66-EFCC-468E-ABEF-892666381A8D}" srcOrd="1" destOrd="3" presId="urn:microsoft.com/office/officeart/2005/8/layout/vList4"/>
    <dgm:cxn modelId="{2933BB76-383D-423B-ACB7-9149FFA45387}" type="presOf" srcId="{D9718AC7-5D35-44D0-94E6-C40BA6D72FE2}" destId="{19AC9FC7-C528-44DB-B9E0-03AB86454781}" srcOrd="0" destOrd="0" presId="urn:microsoft.com/office/officeart/2005/8/layout/vList4"/>
    <dgm:cxn modelId="{DC645B95-9DE5-4359-978B-0B60869F1434}" type="presOf" srcId="{164BE6EC-492D-4B03-B0B2-70BCED1ED5B9}" destId="{A769ED9E-0B72-4E8C-AFE4-9E4B71710773}" srcOrd="1" destOrd="0" presId="urn:microsoft.com/office/officeart/2005/8/layout/vList4"/>
    <dgm:cxn modelId="{AE84EF48-8715-41C7-8DE0-686F0BBD3D72}" srcId="{29D35207-1A63-4618-A468-796412A7633E}" destId="{47DC43AF-9D05-415F-B760-24652293D226}" srcOrd="3" destOrd="0" parTransId="{20148C8F-ED12-44D1-BE52-76A8CCC70655}" sibTransId="{DC3A6F62-3125-4DA8-8332-9CF0D33C8325}"/>
    <dgm:cxn modelId="{EAE490AF-B8E5-44EC-B6DE-97EF26CF715D}" srcId="{D9718AC7-5D35-44D0-94E6-C40BA6D72FE2}" destId="{6FF1811B-DE6A-4A7D-BAB2-0D335BF50FCA}" srcOrd="1" destOrd="0" parTransId="{1D8AA770-A1F0-4109-8094-0BED8EA8524F}" sibTransId="{F4D6B144-F427-49A3-A8EB-6A3986127DC1}"/>
    <dgm:cxn modelId="{3F14ECCF-42A4-43BB-B865-7367AE5AC14B}" type="presOf" srcId="{6FF1811B-DE6A-4A7D-BAB2-0D335BF50FCA}" destId="{19AC9FC7-C528-44DB-B9E0-03AB86454781}" srcOrd="0" destOrd="2" presId="urn:microsoft.com/office/officeart/2005/8/layout/vList4"/>
    <dgm:cxn modelId="{D6BF1F16-7EE8-4D3C-8CA3-4278D4E295E0}" type="presOf" srcId="{164BE6EC-492D-4B03-B0B2-70BCED1ED5B9}" destId="{EEA252F6-6627-4EE0-81A0-6D369B53BD7C}" srcOrd="0" destOrd="0" presId="urn:microsoft.com/office/officeart/2005/8/layout/vList4"/>
    <dgm:cxn modelId="{C6713AE2-4B29-45AB-8BFA-5B374D2CDA28}" srcId="{2F0794EB-CFCF-40C9-95D4-5F222F9E2B7A}" destId="{5B040494-5DA3-4D6D-9865-9E31FB313915}" srcOrd="2" destOrd="0" parTransId="{47F0D825-2DAA-4265-B76B-717FEC48D258}" sibTransId="{22D49162-6F67-4A25-89CF-BAB513752EC9}"/>
    <dgm:cxn modelId="{7A84CEDC-9409-499B-9C0B-DFC355A0DDA1}" srcId="{D9718AC7-5D35-44D0-94E6-C40BA6D72FE2}" destId="{3C79FEE7-F556-4334-AF16-58047E0D0223}" srcOrd="0" destOrd="0" parTransId="{F8CEF8C7-656A-4EF3-A8C7-4C32BDFE571B}" sibTransId="{2EA7C680-73C4-488E-9634-A299DB9D6130}"/>
    <dgm:cxn modelId="{B84BC051-8AF5-47DE-92E0-661A5ABEBF83}" type="presOf" srcId="{1B186604-0407-4EEE-AFEE-64B76380F753}" destId="{A769ED9E-0B72-4E8C-AFE4-9E4B71710773}" srcOrd="1" destOrd="3" presId="urn:microsoft.com/office/officeart/2005/8/layout/vList4"/>
    <dgm:cxn modelId="{B95F47E3-633D-45F6-9732-58A8C1893741}" type="presOf" srcId="{47DC43AF-9D05-415F-B760-24652293D226}" destId="{2EEF68EE-3BEA-4FDD-A42F-41878FFD1968}" srcOrd="0" destOrd="0" presId="urn:microsoft.com/office/officeart/2005/8/layout/vList4"/>
    <dgm:cxn modelId="{72D53786-6E72-4E5D-9723-E6A95EAB499B}" type="presOf" srcId="{3C79FEE7-F556-4334-AF16-58047E0D0223}" destId="{0FDC3E66-EFCC-468E-ABEF-892666381A8D}" srcOrd="1" destOrd="1" presId="urn:microsoft.com/office/officeart/2005/8/layout/vList4"/>
    <dgm:cxn modelId="{1648CE25-6553-401E-9268-858DD8E34821}" srcId="{164BE6EC-492D-4B03-B0B2-70BCED1ED5B9}" destId="{83D0454F-1385-428B-9B9A-33711F18420F}" srcOrd="1" destOrd="0" parTransId="{16E2D23A-87F6-4DF8-BD9A-375076DDD7F4}" sibTransId="{9CA12DE2-AF4D-4DA3-B396-1092C564A054}"/>
    <dgm:cxn modelId="{6FB27010-83C1-4525-84DC-5C4D379DAEB5}" type="presOf" srcId="{C2090A95-56F0-4DC7-A3EC-FA9B0C779630}" destId="{43FD74CB-11B7-4667-B48D-FACBA01F11CD}" srcOrd="1" destOrd="3" presId="urn:microsoft.com/office/officeart/2005/8/layout/vList4"/>
    <dgm:cxn modelId="{DE32B9DE-5A7D-4A91-98A8-BABA35393219}" srcId="{164BE6EC-492D-4B03-B0B2-70BCED1ED5B9}" destId="{1B186604-0407-4EEE-AFEE-64B76380F753}" srcOrd="2" destOrd="0" parTransId="{2F1AEA7A-9126-40BE-9E82-679E3D614100}" sibTransId="{ACBD81B7-EFB4-41DA-BEBE-1E9426CD196D}"/>
    <dgm:cxn modelId="{3CB00BBD-9DE0-42C4-9D98-85C369AB9E3A}" type="presOf" srcId="{88AE32BD-5CCD-4EF5-A9FA-0C1CF0E41DC0}" destId="{19AC9FC7-C528-44DB-B9E0-03AB86454781}" srcOrd="0" destOrd="4" presId="urn:microsoft.com/office/officeart/2005/8/layout/vList4"/>
    <dgm:cxn modelId="{F63CC184-0C6B-48EF-99A9-6C44F8C7162D}" srcId="{29D35207-1A63-4618-A468-796412A7633E}" destId="{2F0794EB-CFCF-40C9-95D4-5F222F9E2B7A}" srcOrd="2" destOrd="0" parTransId="{CEE21DBA-2C89-41ED-AC56-C62839EEE0C5}" sibTransId="{833FA7B5-A9BA-4037-86A4-9D6428786979}"/>
    <dgm:cxn modelId="{D8CEA400-02C8-4A9D-B612-A06313D401CF}" srcId="{47DC43AF-9D05-415F-B760-24652293D226}" destId="{C0759711-E756-430C-A1CA-50789882BC23}" srcOrd="0" destOrd="0" parTransId="{8BC33E9C-DB47-44BF-BADE-8D781F40693D}" sibTransId="{761A9956-917A-4AD2-B337-B328B1BAA9C0}"/>
    <dgm:cxn modelId="{3A563ACC-7062-4FE6-B7AA-EC042F41FD3F}" srcId="{29D35207-1A63-4618-A468-796412A7633E}" destId="{164BE6EC-492D-4B03-B0B2-70BCED1ED5B9}" srcOrd="0" destOrd="0" parTransId="{FBED2554-EAAE-443A-A437-E1879AF08ED6}" sibTransId="{031D12F7-1474-4055-8BD0-06D8369FF357}"/>
    <dgm:cxn modelId="{70646280-34B3-4E8F-BB9D-72E1C0E8CF87}" type="presOf" srcId="{B574DA99-B6F1-4A9E-AEE5-B436AD4FF129}" destId="{851E38C7-4CC5-4C35-B15A-C09D89BEF5A9}" srcOrd="0" destOrd="1" presId="urn:microsoft.com/office/officeart/2005/8/layout/vList4"/>
    <dgm:cxn modelId="{F87E9182-4567-4B6A-BEE5-A6F465599804}" type="presOf" srcId="{D4E42428-ACCF-4654-B1E0-15193BD66830}" destId="{A769ED9E-0B72-4E8C-AFE4-9E4B71710773}" srcOrd="1" destOrd="1" presId="urn:microsoft.com/office/officeart/2005/8/layout/vList4"/>
    <dgm:cxn modelId="{2A6AB254-4D44-4963-8369-88813EBF3A23}" type="presOf" srcId="{29D35207-1A63-4618-A468-796412A7633E}" destId="{4F7F243A-22A8-48D4-B42E-35CEC854C706}" srcOrd="0" destOrd="0" presId="urn:microsoft.com/office/officeart/2005/8/layout/vList4"/>
    <dgm:cxn modelId="{74786558-0DC0-4130-B41A-AA30B51A039A}" srcId="{164BE6EC-492D-4B03-B0B2-70BCED1ED5B9}" destId="{D4E42428-ACCF-4654-B1E0-15193BD66830}" srcOrd="0" destOrd="0" parTransId="{906AB59C-4207-428E-BF13-1D9C199EAF91}" sibTransId="{C7434629-2D17-4DF4-9758-D2F834DFE1B3}"/>
    <dgm:cxn modelId="{5A4F3D7C-BB89-483A-8332-270110FCAF6F}" type="presOf" srcId="{D9718AC7-5D35-44D0-94E6-C40BA6D72FE2}" destId="{0FDC3E66-EFCC-468E-ABEF-892666381A8D}" srcOrd="1" destOrd="0" presId="urn:microsoft.com/office/officeart/2005/8/layout/vList4"/>
    <dgm:cxn modelId="{6E5E9073-CE4D-492F-AD6F-137FCFDA0D47}" type="presOf" srcId="{3C79FEE7-F556-4334-AF16-58047E0D0223}" destId="{19AC9FC7-C528-44DB-B9E0-03AB86454781}" srcOrd="0" destOrd="1" presId="urn:microsoft.com/office/officeart/2005/8/layout/vList4"/>
    <dgm:cxn modelId="{1DC33FE1-640D-4D26-B4D3-625B0BEB2C63}" type="presOf" srcId="{D4E42428-ACCF-4654-B1E0-15193BD66830}" destId="{EEA252F6-6627-4EE0-81A0-6D369B53BD7C}" srcOrd="0" destOrd="1" presId="urn:microsoft.com/office/officeart/2005/8/layout/vList4"/>
    <dgm:cxn modelId="{834298CE-2EAB-4542-B406-F84172F9D422}" type="presOf" srcId="{2F0794EB-CFCF-40C9-95D4-5F222F9E2B7A}" destId="{851E38C7-4CC5-4C35-B15A-C09D89BEF5A9}" srcOrd="0" destOrd="0" presId="urn:microsoft.com/office/officeart/2005/8/layout/vList4"/>
    <dgm:cxn modelId="{CA503E1E-8AAB-4487-913B-69C1186A91D1}" type="presOf" srcId="{66C9080D-E7E9-4F70-A7D7-32BC9EA46F52}" destId="{43FD74CB-11B7-4667-B48D-FACBA01F11CD}" srcOrd="1" destOrd="2" presId="urn:microsoft.com/office/officeart/2005/8/layout/vList4"/>
    <dgm:cxn modelId="{6DB9F6F8-2E66-45AC-8FD3-085C3D6F6148}" type="presOf" srcId="{843B64CE-A65D-42C4-BCAE-855C60ABC8BD}" destId="{851E38C7-4CC5-4C35-B15A-C09D89BEF5A9}" srcOrd="0" destOrd="2" presId="urn:microsoft.com/office/officeart/2005/8/layout/vList4"/>
    <dgm:cxn modelId="{2678CD81-DEE1-4F95-81B5-E82F84835018}" type="presOf" srcId="{B574DA99-B6F1-4A9E-AEE5-B436AD4FF129}" destId="{B76097D7-1664-4567-B82C-08B755A5D123}" srcOrd="1" destOrd="1" presId="urn:microsoft.com/office/officeart/2005/8/layout/vList4"/>
    <dgm:cxn modelId="{1CC8A93D-A20B-48F2-87B4-1B5E170ECFB5}" type="presOf" srcId="{6FF1811B-DE6A-4A7D-BAB2-0D335BF50FCA}" destId="{0FDC3E66-EFCC-468E-ABEF-892666381A8D}" srcOrd="1" destOrd="2" presId="urn:microsoft.com/office/officeart/2005/8/layout/vList4"/>
    <dgm:cxn modelId="{8D67A200-F71A-48E6-886D-89430ADAE7CF}" srcId="{29D35207-1A63-4618-A468-796412A7633E}" destId="{D9718AC7-5D35-44D0-94E6-C40BA6D72FE2}" srcOrd="1" destOrd="0" parTransId="{E19C7CE1-1528-43F0-98D5-D766B4626C95}" sibTransId="{71233DBD-DE35-486E-AA71-6548DD8C0C37}"/>
    <dgm:cxn modelId="{26B4194C-D9A3-40BE-A980-3A98922A9D9F}" srcId="{D9718AC7-5D35-44D0-94E6-C40BA6D72FE2}" destId="{BCFAD3DB-6D1A-4361-9CD7-C07B17FADD41}" srcOrd="2" destOrd="0" parTransId="{5606D211-B036-4749-ABF1-F3CCB3A604F8}" sibTransId="{A7DE9811-997E-43F0-BA25-DBA5FAC5EC9A}"/>
    <dgm:cxn modelId="{0E609CD5-9ECA-4464-8175-2A38B7474243}" type="presOf" srcId="{47DC43AF-9D05-415F-B760-24652293D226}" destId="{43FD74CB-11B7-4667-B48D-FACBA01F11CD}" srcOrd="1" destOrd="0" presId="urn:microsoft.com/office/officeart/2005/8/layout/vList4"/>
    <dgm:cxn modelId="{DC7815AC-B762-40CE-9D70-F1EBF7EF8294}" type="presOf" srcId="{843B64CE-A65D-42C4-BCAE-855C60ABC8BD}" destId="{B76097D7-1664-4567-B82C-08B755A5D123}" srcOrd="1" destOrd="2" presId="urn:microsoft.com/office/officeart/2005/8/layout/vList4"/>
    <dgm:cxn modelId="{636B3221-2974-4C8F-9D8F-8682256CA2EC}" srcId="{47DC43AF-9D05-415F-B760-24652293D226}" destId="{C2090A95-56F0-4DC7-A3EC-FA9B0C779630}" srcOrd="2" destOrd="0" parTransId="{D280B13E-E378-4320-B530-E1FE4FDAB8C2}" sibTransId="{FAA434AD-C419-4F24-83D2-687251D89043}"/>
    <dgm:cxn modelId="{B653879E-7F86-4A77-A1ED-22419FF5B1AB}" srcId="{47DC43AF-9D05-415F-B760-24652293D226}" destId="{66C9080D-E7E9-4F70-A7D7-32BC9EA46F52}" srcOrd="1" destOrd="0" parTransId="{08023964-0D6C-4D28-9F62-6B897DC4818B}" sibTransId="{596AABF8-1FF9-476A-894D-F9C8760E8A45}"/>
    <dgm:cxn modelId="{7C4DE9BF-EBCF-42F4-AE0E-CED8BC637E01}" type="presOf" srcId="{2F0794EB-CFCF-40C9-95D4-5F222F9E2B7A}" destId="{B76097D7-1664-4567-B82C-08B755A5D123}" srcOrd="1" destOrd="0" presId="urn:microsoft.com/office/officeart/2005/8/layout/vList4"/>
    <dgm:cxn modelId="{BB4E3936-11C7-4DE9-9100-9A5EAC3FED2F}" srcId="{2F0794EB-CFCF-40C9-95D4-5F222F9E2B7A}" destId="{B574DA99-B6F1-4A9E-AEE5-B436AD4FF129}" srcOrd="0" destOrd="0" parTransId="{3CE03AC7-9DEB-4304-927B-502BA5D94E44}" sibTransId="{1A2E4560-1B22-44C6-8882-983DA0F2B394}"/>
    <dgm:cxn modelId="{4E1F684E-D3AE-4391-B615-B9A1615EC9E2}" srcId="{2F0794EB-CFCF-40C9-95D4-5F222F9E2B7A}" destId="{843B64CE-A65D-42C4-BCAE-855C60ABC8BD}" srcOrd="1" destOrd="0" parTransId="{E4F99729-89D7-440A-AD7E-58528C272150}" sibTransId="{7204216E-87B7-434D-A4C0-D0735F4EB310}"/>
    <dgm:cxn modelId="{8FBDE794-182F-45BB-BF63-04EAEB80D1E5}" type="presOf" srcId="{83D0454F-1385-428B-9B9A-33711F18420F}" destId="{EEA252F6-6627-4EE0-81A0-6D369B53BD7C}" srcOrd="0" destOrd="2" presId="urn:microsoft.com/office/officeart/2005/8/layout/vList4"/>
    <dgm:cxn modelId="{268164EA-3CA8-4DB6-9DE3-39856C4523C8}" type="presOf" srcId="{88AE32BD-5CCD-4EF5-A9FA-0C1CF0E41DC0}" destId="{0FDC3E66-EFCC-468E-ABEF-892666381A8D}" srcOrd="1" destOrd="4" presId="urn:microsoft.com/office/officeart/2005/8/layout/vList4"/>
    <dgm:cxn modelId="{1E48F8E3-1051-4F38-8183-6E48FC3DE431}" srcId="{D9718AC7-5D35-44D0-94E6-C40BA6D72FE2}" destId="{88AE32BD-5CCD-4EF5-A9FA-0C1CF0E41DC0}" srcOrd="3" destOrd="0" parTransId="{4F2129A3-3FED-4AEA-95AE-5BC859C0734C}" sibTransId="{FC99CDC1-2FA7-4E61-AE2F-489F9F7FFC52}"/>
    <dgm:cxn modelId="{2FCDC7BA-3979-4612-8C8A-3F6C2E282291}" type="presOf" srcId="{5B040494-5DA3-4D6D-9865-9E31FB313915}" destId="{851E38C7-4CC5-4C35-B15A-C09D89BEF5A9}" srcOrd="0" destOrd="3" presId="urn:microsoft.com/office/officeart/2005/8/layout/vList4"/>
    <dgm:cxn modelId="{B1CF5BBF-2695-4507-AE3F-AF530AFCB8EA}" type="presOf" srcId="{C0759711-E756-430C-A1CA-50789882BC23}" destId="{43FD74CB-11B7-4667-B48D-FACBA01F11CD}" srcOrd="1" destOrd="1" presId="urn:microsoft.com/office/officeart/2005/8/layout/vList4"/>
    <dgm:cxn modelId="{90EC57CD-CE56-4412-B976-B497836BFE06}" type="presOf" srcId="{5B040494-5DA3-4D6D-9865-9E31FB313915}" destId="{B76097D7-1664-4567-B82C-08B755A5D123}" srcOrd="1" destOrd="3" presId="urn:microsoft.com/office/officeart/2005/8/layout/vList4"/>
    <dgm:cxn modelId="{A4F1E462-F000-488B-B929-C310DCB8CE2C}" type="presOf" srcId="{C2090A95-56F0-4DC7-A3EC-FA9B0C779630}" destId="{2EEF68EE-3BEA-4FDD-A42F-41878FFD1968}" srcOrd="0" destOrd="3" presId="urn:microsoft.com/office/officeart/2005/8/layout/vList4"/>
    <dgm:cxn modelId="{27B1CC85-89F2-4111-88A7-3F9F3497CB9D}" type="presParOf" srcId="{4F7F243A-22A8-48D4-B42E-35CEC854C706}" destId="{8A6B06F4-A369-430F-A482-D6CD7DC1E9A4}" srcOrd="0" destOrd="0" presId="urn:microsoft.com/office/officeart/2005/8/layout/vList4"/>
    <dgm:cxn modelId="{C3F33EA8-B258-4889-B0ED-1604D456A6EB}" type="presParOf" srcId="{8A6B06F4-A369-430F-A482-D6CD7DC1E9A4}" destId="{EEA252F6-6627-4EE0-81A0-6D369B53BD7C}" srcOrd="0" destOrd="0" presId="urn:microsoft.com/office/officeart/2005/8/layout/vList4"/>
    <dgm:cxn modelId="{1D05479B-D5C1-4ED5-89EF-05074AD891C8}" type="presParOf" srcId="{8A6B06F4-A369-430F-A482-D6CD7DC1E9A4}" destId="{F3ED50CC-6A92-4BD1-A450-DB93AA77D41B}" srcOrd="1" destOrd="0" presId="urn:microsoft.com/office/officeart/2005/8/layout/vList4"/>
    <dgm:cxn modelId="{B1F854E2-B75F-47D6-A248-BE8BF7D4C3AF}" type="presParOf" srcId="{8A6B06F4-A369-430F-A482-D6CD7DC1E9A4}" destId="{A769ED9E-0B72-4E8C-AFE4-9E4B71710773}" srcOrd="2" destOrd="0" presId="urn:microsoft.com/office/officeart/2005/8/layout/vList4"/>
    <dgm:cxn modelId="{B6AF832C-CBF7-4CBD-BAA0-5BAB23FC3F0F}" type="presParOf" srcId="{4F7F243A-22A8-48D4-B42E-35CEC854C706}" destId="{6353DF04-23EE-4EA3-853E-D9B1FB66AF12}" srcOrd="1" destOrd="0" presId="urn:microsoft.com/office/officeart/2005/8/layout/vList4"/>
    <dgm:cxn modelId="{2AC18696-0894-4BE2-B852-7E7F1D4267F8}" type="presParOf" srcId="{4F7F243A-22A8-48D4-B42E-35CEC854C706}" destId="{64414B46-A6FD-459C-8FCA-918D61738F88}" srcOrd="2" destOrd="0" presId="urn:microsoft.com/office/officeart/2005/8/layout/vList4"/>
    <dgm:cxn modelId="{FF4E33D1-29A8-46FA-94B4-375628749F8E}" type="presParOf" srcId="{64414B46-A6FD-459C-8FCA-918D61738F88}" destId="{19AC9FC7-C528-44DB-B9E0-03AB86454781}" srcOrd="0" destOrd="0" presId="urn:microsoft.com/office/officeart/2005/8/layout/vList4"/>
    <dgm:cxn modelId="{70BD3CCC-754C-42D8-AC18-81D7EF5258D7}" type="presParOf" srcId="{64414B46-A6FD-459C-8FCA-918D61738F88}" destId="{08C72B9C-3DE3-4B61-850D-63DAA2AEFF61}" srcOrd="1" destOrd="0" presId="urn:microsoft.com/office/officeart/2005/8/layout/vList4"/>
    <dgm:cxn modelId="{1E585586-C64F-49C7-8671-406F53EED26C}" type="presParOf" srcId="{64414B46-A6FD-459C-8FCA-918D61738F88}" destId="{0FDC3E66-EFCC-468E-ABEF-892666381A8D}" srcOrd="2" destOrd="0" presId="urn:microsoft.com/office/officeart/2005/8/layout/vList4"/>
    <dgm:cxn modelId="{DB081315-F9E8-4532-B865-E1C250B3121A}" type="presParOf" srcId="{4F7F243A-22A8-48D4-B42E-35CEC854C706}" destId="{56E92E6D-F1EB-499E-9D6A-5A46AE7CED28}" srcOrd="3" destOrd="0" presId="urn:microsoft.com/office/officeart/2005/8/layout/vList4"/>
    <dgm:cxn modelId="{6562B29D-D361-4CC9-BF1C-BA4FD68A324A}" type="presParOf" srcId="{4F7F243A-22A8-48D4-B42E-35CEC854C706}" destId="{7CC950B8-4A91-4D75-9A1D-770E32617B53}" srcOrd="4" destOrd="0" presId="urn:microsoft.com/office/officeart/2005/8/layout/vList4"/>
    <dgm:cxn modelId="{82C4D69E-ABF4-4823-8AB3-60CA5D0A7ABF}" type="presParOf" srcId="{7CC950B8-4A91-4D75-9A1D-770E32617B53}" destId="{851E38C7-4CC5-4C35-B15A-C09D89BEF5A9}" srcOrd="0" destOrd="0" presId="urn:microsoft.com/office/officeart/2005/8/layout/vList4"/>
    <dgm:cxn modelId="{F8D7F88C-949C-4CFE-BFA7-F5BC97C72AA9}" type="presParOf" srcId="{7CC950B8-4A91-4D75-9A1D-770E32617B53}" destId="{1B780BDB-6075-4933-856D-E70367EB8D67}" srcOrd="1" destOrd="0" presId="urn:microsoft.com/office/officeart/2005/8/layout/vList4"/>
    <dgm:cxn modelId="{BE579E27-0FFA-49C2-8DED-8B4D5407F05F}" type="presParOf" srcId="{7CC950B8-4A91-4D75-9A1D-770E32617B53}" destId="{B76097D7-1664-4567-B82C-08B755A5D123}" srcOrd="2" destOrd="0" presId="urn:microsoft.com/office/officeart/2005/8/layout/vList4"/>
    <dgm:cxn modelId="{66A2F71A-4D03-43C3-8FE8-8B021068D6A9}" type="presParOf" srcId="{4F7F243A-22A8-48D4-B42E-35CEC854C706}" destId="{DCCE6B48-4EE7-4609-9C74-EA1B927FF295}" srcOrd="5" destOrd="0" presId="urn:microsoft.com/office/officeart/2005/8/layout/vList4"/>
    <dgm:cxn modelId="{34E21D6F-2C8E-4CC1-890F-EE66157F6CCA}" type="presParOf" srcId="{4F7F243A-22A8-48D4-B42E-35CEC854C706}" destId="{E86D3C9B-500E-4DD7-875A-1E7ABAF59F82}" srcOrd="6" destOrd="0" presId="urn:microsoft.com/office/officeart/2005/8/layout/vList4"/>
    <dgm:cxn modelId="{2C9FCDEA-AC09-4255-A05F-322120644019}" type="presParOf" srcId="{E86D3C9B-500E-4DD7-875A-1E7ABAF59F82}" destId="{2EEF68EE-3BEA-4FDD-A42F-41878FFD1968}" srcOrd="0" destOrd="0" presId="urn:microsoft.com/office/officeart/2005/8/layout/vList4"/>
    <dgm:cxn modelId="{A000CA8B-8BFC-4B22-BCB4-2EBE4B18B768}" type="presParOf" srcId="{E86D3C9B-500E-4DD7-875A-1E7ABAF59F82}" destId="{2CDD6EC6-95CD-412E-A016-B8E33284663A}" srcOrd="1" destOrd="0" presId="urn:microsoft.com/office/officeart/2005/8/layout/vList4"/>
    <dgm:cxn modelId="{1CBA9FEB-DDF9-4544-9365-34FB82C36D6F}" type="presParOf" srcId="{E86D3C9B-500E-4DD7-875A-1E7ABAF59F82}" destId="{43FD74CB-11B7-4667-B48D-FACBA01F11CD}" srcOrd="2" destOrd="0" presId="urn:microsoft.com/office/officeart/2005/8/layout/vList4"/>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EA252F6-6627-4EE0-81A0-6D369B53BD7C}">
      <dsp:nvSpPr>
        <dsp:cNvPr id="0" name=""/>
        <dsp:cNvSpPr/>
      </dsp:nvSpPr>
      <dsp:spPr>
        <a:xfrm>
          <a:off x="0" y="0"/>
          <a:ext cx="5524500" cy="985149"/>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bg-BG" sz="1100" b="1" kern="1200">
              <a:solidFill>
                <a:sysClr val="window" lastClr="FFFFFF"/>
              </a:solidFill>
              <a:latin typeface="Calibri"/>
              <a:ea typeface="+mn-ea"/>
              <a:cs typeface="+mn-cs"/>
            </a:rPr>
            <a:t>Наука и иновации за конкурентоспособност</a:t>
          </a:r>
          <a:r>
            <a:rPr lang="bg-BG" sz="1100" kern="1200">
              <a:solidFill>
                <a:sysClr val="window" lastClr="FFFFFF"/>
              </a:solidFill>
              <a:latin typeface="Calibri"/>
              <a:ea typeface="+mn-ea"/>
              <a:cs typeface="+mn-cs"/>
            </a:rPr>
            <a:t> </a:t>
          </a:r>
          <a:endParaRPr lang="bg-BG" sz="1100" b="1" kern="1200">
            <a:solidFill>
              <a:sysClr val="window" lastClr="FFFFFF"/>
            </a:solidFill>
            <a:latin typeface="Calibri"/>
            <a:ea typeface="+mn-ea"/>
            <a:cs typeface="+mn-cs"/>
          </a:endParaRPr>
        </a:p>
        <a:p>
          <a:pPr marL="57150" lvl="1" indent="-57150" algn="l" defTabSz="400050">
            <a:lnSpc>
              <a:spcPct val="90000"/>
            </a:lnSpc>
            <a:spcBef>
              <a:spcPct val="0"/>
            </a:spcBef>
            <a:spcAft>
              <a:spcPct val="15000"/>
            </a:spcAft>
            <a:buChar char="••"/>
          </a:pPr>
          <a:r>
            <a:rPr lang="bg-BG" sz="900" kern="1200">
              <a:solidFill>
                <a:sysClr val="window" lastClr="FFFFFF"/>
              </a:solidFill>
              <a:latin typeface="Calibri"/>
              <a:ea typeface="+mn-ea"/>
              <a:cs typeface="+mn-cs"/>
            </a:rPr>
            <a:t> НИРД и научна инфраструктура</a:t>
          </a:r>
        </a:p>
        <a:p>
          <a:pPr marL="57150" lvl="1" indent="-57150" algn="l" defTabSz="400050">
            <a:lnSpc>
              <a:spcPct val="90000"/>
            </a:lnSpc>
            <a:spcBef>
              <a:spcPct val="0"/>
            </a:spcBef>
            <a:spcAft>
              <a:spcPct val="15000"/>
            </a:spcAft>
            <a:buChar char="••"/>
          </a:pPr>
          <a:r>
            <a:rPr lang="bg-BG" sz="900" kern="1200">
              <a:solidFill>
                <a:sysClr val="window" lastClr="FFFFFF"/>
              </a:solidFill>
              <a:latin typeface="Calibri"/>
              <a:ea typeface="+mn-ea"/>
              <a:cs typeface="+mn-cs"/>
            </a:rPr>
            <a:t> Стимулиране на иновациите в предприятията</a:t>
          </a:r>
        </a:p>
        <a:p>
          <a:pPr marL="57150" lvl="1" indent="-57150" algn="l" defTabSz="400050">
            <a:lnSpc>
              <a:spcPct val="90000"/>
            </a:lnSpc>
            <a:spcBef>
              <a:spcPct val="0"/>
            </a:spcBef>
            <a:spcAft>
              <a:spcPct val="15000"/>
            </a:spcAft>
            <a:buChar char="••"/>
          </a:pPr>
          <a:endParaRPr lang="bg-BG" sz="900" kern="1200">
            <a:solidFill>
              <a:sysClr val="window" lastClr="FFFFFF"/>
            </a:solidFill>
            <a:latin typeface="Calibri"/>
            <a:ea typeface="+mn-ea"/>
            <a:cs typeface="+mn-cs"/>
          </a:endParaRPr>
        </a:p>
      </dsp:txBody>
      <dsp:txXfrm>
        <a:off x="1203414" y="0"/>
        <a:ext cx="4321085" cy="985149"/>
      </dsp:txXfrm>
    </dsp:sp>
    <dsp:sp modelId="{F3ED50CC-6A92-4BD1-A450-DB93AA77D41B}">
      <dsp:nvSpPr>
        <dsp:cNvPr id="0" name=""/>
        <dsp:cNvSpPr/>
      </dsp:nvSpPr>
      <dsp:spPr>
        <a:xfrm>
          <a:off x="98514" y="98514"/>
          <a:ext cx="1104900" cy="788119"/>
        </a:xfrm>
        <a:prstGeom prst="roundRect">
          <a:avLst>
            <a:gd name="adj" fmla="val 10000"/>
          </a:avLst>
        </a:prstGeom>
        <a:blipFill rotWithShape="1">
          <a:blip xmlns:r="http://schemas.openxmlformats.org/officeDocument/2006/relationships" r:embed="rId1"/>
          <a:stretch>
            <a:fillRect/>
          </a:stretch>
        </a:blip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19AC9FC7-C528-44DB-B9E0-03AB86454781}">
      <dsp:nvSpPr>
        <dsp:cNvPr id="0" name=""/>
        <dsp:cNvSpPr/>
      </dsp:nvSpPr>
      <dsp:spPr>
        <a:xfrm>
          <a:off x="0" y="1083664"/>
          <a:ext cx="5524500" cy="985149"/>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bg-BG" sz="1100" b="1" kern="1200">
              <a:solidFill>
                <a:sysClr val="window" lastClr="FFFFFF"/>
              </a:solidFill>
              <a:latin typeface="Calibri"/>
              <a:ea typeface="+mn-ea"/>
              <a:cs typeface="+mn-cs"/>
            </a:rPr>
            <a:t>Образование и обучение за високо квалифицирана работна сила</a:t>
          </a:r>
        </a:p>
        <a:p>
          <a:pPr marL="57150" lvl="1" indent="-57150" algn="l" defTabSz="400050">
            <a:lnSpc>
              <a:spcPct val="90000"/>
            </a:lnSpc>
            <a:spcBef>
              <a:spcPct val="0"/>
            </a:spcBef>
            <a:spcAft>
              <a:spcPct val="15000"/>
            </a:spcAft>
            <a:buChar char="••"/>
          </a:pPr>
          <a:r>
            <a:rPr lang="bg-BG" sz="900" kern="1200">
              <a:solidFill>
                <a:sysClr val="window" lastClr="FFFFFF"/>
              </a:solidFill>
              <a:latin typeface="Calibri"/>
              <a:ea typeface="+mn-ea"/>
              <a:cs typeface="+mn-cs"/>
            </a:rPr>
            <a:t> Повишаване на уменията</a:t>
          </a:r>
        </a:p>
        <a:p>
          <a:pPr marL="57150" lvl="1" indent="-57150" algn="l" defTabSz="400050">
            <a:lnSpc>
              <a:spcPct val="90000"/>
            </a:lnSpc>
            <a:spcBef>
              <a:spcPct val="0"/>
            </a:spcBef>
            <a:spcAft>
              <a:spcPct val="15000"/>
            </a:spcAft>
            <a:buChar char="••"/>
          </a:pPr>
          <a:r>
            <a:rPr lang="bg-BG" sz="900" kern="1200">
              <a:solidFill>
                <a:sysClr val="window" lastClr="FFFFFF"/>
              </a:solidFill>
              <a:latin typeface="Calibri"/>
              <a:ea typeface="+mn-ea"/>
              <a:cs typeface="+mn-cs"/>
            </a:rPr>
            <a:t> Включване в заетост</a:t>
          </a:r>
        </a:p>
        <a:p>
          <a:pPr marL="57150" lvl="1" indent="-57150" algn="l" defTabSz="400050">
            <a:lnSpc>
              <a:spcPct val="90000"/>
            </a:lnSpc>
            <a:spcBef>
              <a:spcPct val="0"/>
            </a:spcBef>
            <a:spcAft>
              <a:spcPct val="15000"/>
            </a:spcAft>
            <a:buChar char="••"/>
          </a:pPr>
          <a:r>
            <a:rPr lang="bg-BG" sz="900" kern="1200">
              <a:solidFill>
                <a:sysClr val="window" lastClr="FFFFFF"/>
              </a:solidFill>
              <a:latin typeface="Calibri"/>
              <a:ea typeface="+mn-ea"/>
              <a:cs typeface="+mn-cs"/>
            </a:rPr>
            <a:t> Подобряване на здравните характеристики на работната сила</a:t>
          </a:r>
        </a:p>
        <a:p>
          <a:pPr marL="57150" lvl="1" indent="-57150" algn="l" defTabSz="400050">
            <a:lnSpc>
              <a:spcPct val="90000"/>
            </a:lnSpc>
            <a:spcBef>
              <a:spcPct val="0"/>
            </a:spcBef>
            <a:spcAft>
              <a:spcPct val="15000"/>
            </a:spcAft>
            <a:buChar char="••"/>
          </a:pPr>
          <a:endParaRPr lang="bg-BG" sz="900" kern="1200">
            <a:solidFill>
              <a:sysClr val="window" lastClr="FFFFFF"/>
            </a:solidFill>
            <a:latin typeface="Calibri"/>
            <a:ea typeface="+mn-ea"/>
            <a:cs typeface="+mn-cs"/>
          </a:endParaRPr>
        </a:p>
      </dsp:txBody>
      <dsp:txXfrm>
        <a:off x="1203414" y="1083664"/>
        <a:ext cx="4321085" cy="985149"/>
      </dsp:txXfrm>
    </dsp:sp>
    <dsp:sp modelId="{08C72B9C-3DE3-4B61-850D-63DAA2AEFF61}">
      <dsp:nvSpPr>
        <dsp:cNvPr id="0" name=""/>
        <dsp:cNvSpPr/>
      </dsp:nvSpPr>
      <dsp:spPr>
        <a:xfrm>
          <a:off x="98514" y="1182179"/>
          <a:ext cx="1104900" cy="788119"/>
        </a:xfrm>
        <a:prstGeom prst="roundRect">
          <a:avLst>
            <a:gd name="adj" fmla="val 10000"/>
          </a:avLst>
        </a:prstGeom>
        <a:blipFill rotWithShape="1">
          <a:blip xmlns:r="http://schemas.openxmlformats.org/officeDocument/2006/relationships" r:embed="rId2"/>
          <a:stretch>
            <a:fillRect/>
          </a:stretch>
        </a:blip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851E38C7-4CC5-4C35-B15A-C09D89BEF5A9}">
      <dsp:nvSpPr>
        <dsp:cNvPr id="0" name=""/>
        <dsp:cNvSpPr/>
      </dsp:nvSpPr>
      <dsp:spPr>
        <a:xfrm>
          <a:off x="0" y="2167328"/>
          <a:ext cx="5524500" cy="985149"/>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bg-BG" sz="1100" b="1" kern="1200">
              <a:solidFill>
                <a:sysClr val="window" lastClr="FFFFFF"/>
              </a:solidFill>
              <a:latin typeface="Calibri"/>
              <a:ea typeface="+mn-ea"/>
              <a:cs typeface="+mn-cs"/>
            </a:rPr>
            <a:t>Подобряване на свързаността и цифровизация на икономиката</a:t>
          </a:r>
        </a:p>
        <a:p>
          <a:pPr marL="57150" lvl="1" indent="-57150" algn="l" defTabSz="400050">
            <a:lnSpc>
              <a:spcPct val="90000"/>
            </a:lnSpc>
            <a:spcBef>
              <a:spcPct val="0"/>
            </a:spcBef>
            <a:spcAft>
              <a:spcPct val="15000"/>
            </a:spcAft>
            <a:buChar char="••"/>
          </a:pPr>
          <a:r>
            <a:rPr lang="bg-BG" sz="900" kern="1200">
              <a:solidFill>
                <a:sysClr val="window" lastClr="FFFFFF"/>
              </a:solidFill>
              <a:latin typeface="Calibri"/>
              <a:ea typeface="+mn-ea"/>
              <a:cs typeface="+mn-cs"/>
            </a:rPr>
            <a:t> Цифрова инфраструктура</a:t>
          </a:r>
        </a:p>
        <a:p>
          <a:pPr marL="57150" lvl="1" indent="-57150" algn="l" defTabSz="400050">
            <a:lnSpc>
              <a:spcPct val="90000"/>
            </a:lnSpc>
            <a:spcBef>
              <a:spcPct val="0"/>
            </a:spcBef>
            <a:spcAft>
              <a:spcPct val="15000"/>
            </a:spcAft>
            <a:buChar char="••"/>
          </a:pPr>
          <a:r>
            <a:rPr lang="bg-BG" sz="900" kern="1200">
              <a:solidFill>
                <a:sysClr val="window" lastClr="FFFFFF"/>
              </a:solidFill>
              <a:latin typeface="Calibri"/>
              <a:ea typeface="+mn-ea"/>
              <a:cs typeface="+mn-cs"/>
            </a:rPr>
            <a:t> Свързаност и достъпност</a:t>
          </a:r>
        </a:p>
        <a:p>
          <a:pPr marL="57150" lvl="1" indent="-57150" algn="l" defTabSz="400050">
            <a:lnSpc>
              <a:spcPct val="90000"/>
            </a:lnSpc>
            <a:spcBef>
              <a:spcPct val="0"/>
            </a:spcBef>
            <a:spcAft>
              <a:spcPct val="15000"/>
            </a:spcAft>
            <a:buChar char="••"/>
          </a:pPr>
          <a:r>
            <a:rPr lang="bg-BG" sz="900" kern="1200">
              <a:solidFill>
                <a:sysClr val="window" lastClr="FFFFFF"/>
              </a:solidFill>
              <a:latin typeface="Calibri"/>
              <a:ea typeface="+mn-ea"/>
              <a:cs typeface="+mn-cs"/>
            </a:rPr>
            <a:t> Електронно управление</a:t>
          </a:r>
        </a:p>
      </dsp:txBody>
      <dsp:txXfrm>
        <a:off x="1203414" y="2167328"/>
        <a:ext cx="4321085" cy="985149"/>
      </dsp:txXfrm>
    </dsp:sp>
    <dsp:sp modelId="{1B780BDB-6075-4933-856D-E70367EB8D67}">
      <dsp:nvSpPr>
        <dsp:cNvPr id="0" name=""/>
        <dsp:cNvSpPr/>
      </dsp:nvSpPr>
      <dsp:spPr>
        <a:xfrm>
          <a:off x="98514" y="2265843"/>
          <a:ext cx="1104900" cy="788119"/>
        </a:xfrm>
        <a:prstGeom prst="roundRect">
          <a:avLst>
            <a:gd name="adj" fmla="val 10000"/>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a:stretch>
        </a:blip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2EEF68EE-3BEA-4FDD-A42F-41878FFD1968}">
      <dsp:nvSpPr>
        <dsp:cNvPr id="0" name=""/>
        <dsp:cNvSpPr/>
      </dsp:nvSpPr>
      <dsp:spPr>
        <a:xfrm>
          <a:off x="0" y="3250992"/>
          <a:ext cx="5524500" cy="985149"/>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bg-BG" sz="1100" b="1" kern="1200">
              <a:solidFill>
                <a:sysClr val="window" lastClr="FFFFFF"/>
              </a:solidFill>
              <a:latin typeface="Calibri"/>
              <a:ea typeface="+mn-ea"/>
              <a:cs typeface="+mn-cs"/>
            </a:rPr>
            <a:t>Оползотворяване на местния потенциал</a:t>
          </a:r>
        </a:p>
        <a:p>
          <a:pPr marL="57150" lvl="1" indent="-57150" algn="l" defTabSz="400050">
            <a:lnSpc>
              <a:spcPct val="90000"/>
            </a:lnSpc>
            <a:spcBef>
              <a:spcPct val="0"/>
            </a:spcBef>
            <a:spcAft>
              <a:spcPct val="15000"/>
            </a:spcAft>
            <a:buChar char="••"/>
          </a:pPr>
          <a:r>
            <a:rPr lang="bg-BG" sz="900" kern="1200">
              <a:solidFill>
                <a:sysClr val="window" lastClr="FFFFFF"/>
              </a:solidFill>
              <a:latin typeface="Calibri"/>
              <a:ea typeface="+mn-ea"/>
              <a:cs typeface="+mn-cs"/>
            </a:rPr>
            <a:t> Туризъм</a:t>
          </a:r>
        </a:p>
        <a:p>
          <a:pPr marL="57150" lvl="1" indent="-57150" algn="l" defTabSz="400050">
            <a:lnSpc>
              <a:spcPct val="90000"/>
            </a:lnSpc>
            <a:spcBef>
              <a:spcPct val="0"/>
            </a:spcBef>
            <a:spcAft>
              <a:spcPct val="15000"/>
            </a:spcAft>
            <a:buChar char="••"/>
          </a:pPr>
          <a:r>
            <a:rPr lang="bg-BG" sz="900" kern="1200">
              <a:solidFill>
                <a:sysClr val="window" lastClr="FFFFFF"/>
              </a:solidFill>
              <a:latin typeface="Calibri"/>
              <a:ea typeface="+mn-ea"/>
              <a:cs typeface="+mn-cs"/>
            </a:rPr>
            <a:t> Екологична инфраструктура</a:t>
          </a:r>
        </a:p>
        <a:p>
          <a:pPr marL="57150" lvl="1" indent="-57150" algn="l" defTabSz="400050">
            <a:lnSpc>
              <a:spcPct val="90000"/>
            </a:lnSpc>
            <a:spcBef>
              <a:spcPct val="0"/>
            </a:spcBef>
            <a:spcAft>
              <a:spcPct val="15000"/>
            </a:spcAft>
            <a:buChar char="••"/>
          </a:pPr>
          <a:r>
            <a:rPr lang="bg-BG" sz="900" kern="1200">
              <a:solidFill>
                <a:sysClr val="window" lastClr="FFFFFF"/>
              </a:solidFill>
              <a:latin typeface="Calibri"/>
              <a:ea typeface="+mn-ea"/>
              <a:cs typeface="+mn-cs"/>
            </a:rPr>
            <a:t> Социална инфраструктура</a:t>
          </a:r>
        </a:p>
      </dsp:txBody>
      <dsp:txXfrm>
        <a:off x="1203414" y="3250992"/>
        <a:ext cx="4321085" cy="985149"/>
      </dsp:txXfrm>
    </dsp:sp>
    <dsp:sp modelId="{2CDD6EC6-95CD-412E-A016-B8E33284663A}">
      <dsp:nvSpPr>
        <dsp:cNvPr id="0" name=""/>
        <dsp:cNvSpPr/>
      </dsp:nvSpPr>
      <dsp:spPr>
        <a:xfrm>
          <a:off x="98514" y="3349507"/>
          <a:ext cx="1104900" cy="788119"/>
        </a:xfrm>
        <a:prstGeom prst="roundRect">
          <a:avLst>
            <a:gd name="adj" fmla="val 10000"/>
          </a:avLst>
        </a:prstGeom>
        <a:blipFill>
          <a:blip xmlns:r="http://schemas.openxmlformats.org/officeDocument/2006/relationships" r:embed="rId4" cstate="print">
            <a:extLst>
              <a:ext uri="{28A0092B-C50C-407E-A947-70E740481C1C}">
                <a14:useLocalDpi xmlns:a14="http://schemas.microsoft.com/office/drawing/2010/main" val="0"/>
              </a:ext>
            </a:extLst>
          </a:blip>
          <a:srcRect/>
          <a:stretch>
            <a:fillRect/>
          </a:stretch>
        </a:blip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vList4">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2B53E-429D-457C-836B-A62B64CF4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77</Pages>
  <Words>38973</Words>
  <Characters>222151</Characters>
  <Application>Microsoft Office Word</Application>
  <DocSecurity>0</DocSecurity>
  <Lines>1851</Lines>
  <Paragraphs>521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2019-02-13T08:08:00Z</dcterms:created>
  <dcterms:modified xsi:type="dcterms:W3CDTF">2019-02-13T08:49:00Z</dcterms:modified>
</cp:coreProperties>
</file>